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AD203">
      <w:pPr>
        <w:shd w:val="clear" w:color="auto" w:fill="FFFFFF"/>
        <w:spacing w:line="300" w:lineRule="auto"/>
        <w:ind w:firstLine="1687" w:firstLineChars="200"/>
        <w:rPr>
          <w:rFonts w:eastAsia="楷体_GB2312"/>
          <w:b/>
          <w:sz w:val="84"/>
          <w:szCs w:val="84"/>
        </w:rPr>
      </w:pPr>
      <w:r>
        <w:rPr>
          <w:rFonts w:hint="eastAsia" w:eastAsia="楷体_GB2312"/>
          <w:b/>
          <w:sz w:val="84"/>
          <w:szCs w:val="84"/>
        </w:rPr>
        <w:t>上海电力大学</w:t>
      </w:r>
    </w:p>
    <w:p w14:paraId="6F47A2C4">
      <w:pPr>
        <w:spacing w:line="276" w:lineRule="auto"/>
        <w:jc w:val="center"/>
        <w:rPr>
          <w:rFonts w:ascii="楷体_GB2312" w:eastAsia="楷体_GB2312"/>
          <w:b/>
          <w:bCs/>
          <w:sz w:val="72"/>
          <w:szCs w:val="72"/>
        </w:rPr>
      </w:pPr>
      <w:r>
        <w:rPr>
          <w:rFonts w:hint="eastAsia" w:ascii="楷体_GB2312" w:eastAsia="楷体_GB2312"/>
          <w:b/>
          <w:bCs/>
          <w:sz w:val="72"/>
          <w:szCs w:val="72"/>
        </w:rPr>
        <w:t>实践课程报告</w:t>
      </w:r>
    </w:p>
    <w:p w14:paraId="2A3C25C7">
      <w:pPr>
        <w:spacing w:line="276" w:lineRule="auto"/>
        <w:jc w:val="center"/>
        <w:rPr>
          <w:rFonts w:ascii="楷体_GB2312" w:eastAsia="楷体_GB2312"/>
          <w:b/>
          <w:bCs/>
          <w:sz w:val="10"/>
          <w:szCs w:val="10"/>
        </w:rPr>
      </w:pPr>
    </w:p>
    <w:p w14:paraId="6081FE69">
      <w:pPr>
        <w:jc w:val="center"/>
        <w:rPr>
          <w:rFonts w:ascii="楷体_GB2312" w:eastAsia="楷体_GB2312"/>
          <w:b/>
          <w:bCs/>
          <w:sz w:val="72"/>
          <w:szCs w:val="72"/>
        </w:rPr>
      </w:pPr>
      <w:r>
        <w:drawing>
          <wp:inline distT="0" distB="0" distL="114300" distR="114300">
            <wp:extent cx="2095500" cy="2095500"/>
            <wp:effectExtent l="0" t="0" r="7620" b="7620"/>
            <wp:docPr id="1" name="图片 2" descr="上海电力大学LOGO 600D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上海电力大学LOGO 600DPI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9E80B">
      <w:pPr>
        <w:spacing w:line="600" w:lineRule="auto"/>
        <w:ind w:firstLine="1120" w:firstLineChars="400"/>
        <w:rPr>
          <w:rFonts w:eastAsia="楷体_GB2312"/>
          <w:sz w:val="28"/>
        </w:rPr>
      </w:pPr>
      <w:r>
        <w:rPr>
          <w:rFonts w:hint="eastAsia" w:eastAsia="楷体_GB2312"/>
          <w:sz w:val="28"/>
        </w:rPr>
        <w:t>学    院：</w:t>
      </w:r>
      <w:r>
        <w:rPr>
          <w:rFonts w:hint="eastAsia" w:eastAsia="楷体_GB2312"/>
          <w:sz w:val="28"/>
          <w:u w:val="single"/>
        </w:rPr>
        <w:t xml:space="preserve">        </w:t>
      </w:r>
      <w:r>
        <w:rPr>
          <w:rFonts w:hint="eastAsia" w:eastAsia="楷体_GB2312"/>
          <w:sz w:val="28"/>
          <w:u w:val="single"/>
          <w:lang w:val="en-US" w:eastAsia="zh-CN"/>
        </w:rPr>
        <w:t>人工智能学部</w:t>
      </w:r>
      <w:r>
        <w:rPr>
          <w:rFonts w:hint="eastAsia" w:eastAsia="楷体_GB2312"/>
          <w:sz w:val="28"/>
          <w:u w:val="single"/>
        </w:rPr>
        <w:t xml:space="preserve">              </w:t>
      </w:r>
    </w:p>
    <w:p w14:paraId="7517EF65">
      <w:pPr>
        <w:widowControl/>
        <w:ind w:firstLine="1120" w:firstLineChars="400"/>
        <w:rPr>
          <w:rFonts w:eastAsia="楷体_GB2312"/>
          <w:sz w:val="28"/>
          <w:u w:val="single"/>
        </w:rPr>
      </w:pPr>
      <w:r>
        <w:rPr>
          <w:rFonts w:hint="eastAsia" w:eastAsia="楷体_GB2312"/>
          <w:sz w:val="28"/>
        </w:rPr>
        <w:t>专    业：</w:t>
      </w:r>
      <w:r>
        <w:rPr>
          <w:rFonts w:hint="eastAsia" w:eastAsia="楷体_GB2312"/>
          <w:sz w:val="28"/>
          <w:u w:val="single"/>
        </w:rPr>
        <w:t xml:space="preserve">     </w:t>
      </w:r>
      <w:r>
        <w:rPr>
          <w:rFonts w:eastAsia="楷体_GB2312"/>
          <w:sz w:val="28"/>
          <w:u w:val="single"/>
        </w:rPr>
        <w:t xml:space="preserve">     </w:t>
      </w:r>
      <w:r>
        <w:rPr>
          <w:rFonts w:hint="eastAsia" w:eastAsia="楷体_GB2312"/>
          <w:sz w:val="28"/>
          <w:u w:val="single"/>
        </w:rPr>
        <w:t xml:space="preserve"> 电子信息工程 </w:t>
      </w:r>
      <w:r>
        <w:rPr>
          <w:rFonts w:eastAsia="楷体_GB2312"/>
          <w:sz w:val="28"/>
          <w:u w:val="single"/>
        </w:rPr>
        <w:t xml:space="preserve">         </w:t>
      </w:r>
      <w:r>
        <w:rPr>
          <w:rFonts w:hint="eastAsia" w:eastAsia="楷体_GB2312"/>
          <w:sz w:val="28"/>
          <w:u w:val="single"/>
        </w:rPr>
        <w:t xml:space="preserve">       </w:t>
      </w:r>
    </w:p>
    <w:p w14:paraId="3247EA35">
      <w:pPr>
        <w:spacing w:line="600" w:lineRule="auto"/>
        <w:ind w:firstLine="1120" w:firstLineChars="400"/>
        <w:rPr>
          <w:rFonts w:eastAsia="楷体_GB2312"/>
          <w:sz w:val="28"/>
          <w:u w:val="single"/>
        </w:rPr>
      </w:pPr>
      <w:r>
        <w:rPr>
          <w:rFonts w:hint="eastAsia" w:eastAsia="楷体_GB2312"/>
          <w:sz w:val="28"/>
        </w:rPr>
        <w:t>课程编号：</w:t>
      </w:r>
      <w:r>
        <w:rPr>
          <w:rFonts w:hint="eastAsia" w:eastAsia="楷体_GB2312"/>
          <w:sz w:val="28"/>
          <w:u w:val="single"/>
        </w:rPr>
        <w:t xml:space="preserve">  </w:t>
      </w:r>
      <w:r>
        <w:rPr>
          <w:rFonts w:eastAsia="楷体_GB2312"/>
          <w:sz w:val="28"/>
          <w:u w:val="single"/>
        </w:rPr>
        <w:t>2607</w:t>
      </w:r>
      <w:r>
        <w:rPr>
          <w:rFonts w:hint="eastAsia" w:eastAsia="楷体_GB2312"/>
          <w:sz w:val="28"/>
          <w:u w:val="single"/>
        </w:rPr>
        <w:t>245</w:t>
      </w:r>
      <w:r>
        <w:rPr>
          <w:rFonts w:eastAsia="楷体_GB2312"/>
          <w:sz w:val="28"/>
          <w:u w:val="single"/>
        </w:rPr>
        <w:t xml:space="preserve"> </w:t>
      </w:r>
      <w:r>
        <w:rPr>
          <w:rFonts w:hint="eastAsia" w:eastAsia="楷体_GB2312"/>
          <w:sz w:val="28"/>
          <w:u w:val="single"/>
        </w:rPr>
        <w:t xml:space="preserve"> </w:t>
      </w:r>
      <w:r>
        <w:rPr>
          <w:rFonts w:hint="eastAsia" w:eastAsia="楷体_GB2312"/>
          <w:sz w:val="28"/>
        </w:rPr>
        <w:t>课程名称：</w:t>
      </w:r>
      <w:r>
        <w:rPr>
          <w:rFonts w:hint="eastAsia" w:eastAsia="楷体_GB2312"/>
          <w:sz w:val="28"/>
          <w:u w:val="single"/>
        </w:rPr>
        <w:t xml:space="preserve">电子系统设计与实践 </w:t>
      </w:r>
    </w:p>
    <w:p w14:paraId="0BF0B81E">
      <w:pPr>
        <w:spacing w:line="600" w:lineRule="auto"/>
        <w:ind w:firstLine="1120" w:firstLineChars="400"/>
        <w:rPr>
          <w:rFonts w:eastAsia="楷体_GB2312"/>
          <w:sz w:val="28"/>
        </w:rPr>
      </w:pPr>
      <w:r>
        <w:rPr>
          <w:rFonts w:hint="eastAsia" w:eastAsia="楷体_GB2312"/>
          <w:sz w:val="28"/>
        </w:rPr>
        <w:t>学生姓名：</w:t>
      </w:r>
      <w:r>
        <w:rPr>
          <w:rFonts w:hint="eastAsia" w:eastAsia="楷体_GB2312"/>
          <w:sz w:val="28"/>
          <w:u w:val="single"/>
        </w:rPr>
        <w:t xml:space="preserve">  </w:t>
      </w:r>
      <w:r>
        <w:rPr>
          <w:rFonts w:hint="eastAsia" w:eastAsia="楷体_GB2312"/>
          <w:sz w:val="28"/>
          <w:u w:val="single"/>
          <w:lang w:val="en-US" w:eastAsia="zh-CN"/>
        </w:rPr>
        <w:t>杨泽</w:t>
      </w:r>
      <w:r>
        <w:rPr>
          <w:rFonts w:eastAsia="楷体_GB2312"/>
          <w:sz w:val="28"/>
          <w:u w:val="single"/>
        </w:rPr>
        <w:t xml:space="preserve"> </w:t>
      </w:r>
      <w:r>
        <w:rPr>
          <w:rFonts w:hint="eastAsia" w:eastAsia="楷体_GB2312"/>
          <w:sz w:val="28"/>
        </w:rPr>
        <w:t xml:space="preserve"> 学号：</w:t>
      </w:r>
      <w:r>
        <w:rPr>
          <w:rFonts w:hint="eastAsia" w:eastAsia="楷体_GB2312"/>
          <w:sz w:val="28"/>
          <w:u w:val="single"/>
        </w:rPr>
        <w:t xml:space="preserve"> </w:t>
      </w:r>
      <w:r>
        <w:rPr>
          <w:rFonts w:eastAsia="楷体_GB2312"/>
          <w:sz w:val="28"/>
          <w:u w:val="single"/>
        </w:rPr>
        <w:t xml:space="preserve"> </w:t>
      </w:r>
      <w:r>
        <w:rPr>
          <w:rFonts w:hint="eastAsia" w:eastAsia="楷体_GB2312"/>
          <w:sz w:val="28"/>
          <w:u w:val="single"/>
          <w:lang w:val="en-US" w:eastAsia="zh-CN"/>
        </w:rPr>
        <w:t>20242005</w:t>
      </w:r>
      <w:r>
        <w:rPr>
          <w:rFonts w:eastAsia="楷体_GB2312"/>
          <w:sz w:val="28"/>
          <w:u w:val="single"/>
        </w:rPr>
        <w:t xml:space="preserve"> </w:t>
      </w:r>
      <w:r>
        <w:rPr>
          <w:rFonts w:hint="eastAsia" w:eastAsia="楷体_GB2312"/>
          <w:sz w:val="28"/>
        </w:rPr>
        <w:t>班级：</w:t>
      </w:r>
      <w:r>
        <w:rPr>
          <w:rFonts w:hint="eastAsia" w:eastAsia="楷体_GB2312"/>
          <w:sz w:val="28"/>
          <w:u w:val="single"/>
        </w:rPr>
        <w:t xml:space="preserve"> </w:t>
      </w:r>
      <w:r>
        <w:rPr>
          <w:rFonts w:hint="eastAsia" w:eastAsia="楷体_GB2312"/>
          <w:sz w:val="28"/>
          <w:u w:val="single"/>
          <w:lang w:val="en-US" w:eastAsia="zh-CN"/>
        </w:rPr>
        <w:t>202407Z</w:t>
      </w:r>
      <w:r>
        <w:rPr>
          <w:rFonts w:eastAsia="楷体_GB2312"/>
          <w:sz w:val="28"/>
          <w:u w:val="single"/>
        </w:rPr>
        <w:t xml:space="preserve">       </w:t>
      </w:r>
      <w:r>
        <w:rPr>
          <w:rFonts w:hint="eastAsia" w:eastAsia="楷体_GB2312"/>
          <w:sz w:val="28"/>
          <w:u w:val="single"/>
        </w:rPr>
        <w:t xml:space="preserve"> </w:t>
      </w:r>
    </w:p>
    <w:p w14:paraId="2CD4079A">
      <w:pPr>
        <w:spacing w:line="600" w:lineRule="auto"/>
        <w:ind w:firstLine="1120" w:firstLineChars="400"/>
        <w:rPr>
          <w:rFonts w:eastAsia="楷体_GB2312"/>
          <w:sz w:val="28"/>
        </w:rPr>
      </w:pPr>
      <w:r>
        <w:rPr>
          <w:rFonts w:hint="eastAsia" w:eastAsia="楷体_GB2312"/>
          <w:sz w:val="28"/>
        </w:rPr>
        <w:t>指导老师：</w:t>
      </w:r>
      <w:r>
        <w:rPr>
          <w:rFonts w:hint="eastAsia" w:eastAsia="楷体_GB2312"/>
          <w:sz w:val="28"/>
          <w:u w:val="single"/>
        </w:rPr>
        <w:t xml:space="preserve">            黄琼、孟逢逢                </w:t>
      </w:r>
    </w:p>
    <w:p w14:paraId="5D347B55">
      <w:pPr>
        <w:jc w:val="center"/>
        <w:rPr>
          <w:rFonts w:eastAsia="楷体_GB2312"/>
          <w:sz w:val="28"/>
        </w:rPr>
      </w:pPr>
      <w:r>
        <w:rPr>
          <w:rFonts w:hint="eastAsia" w:eastAsia="楷体_GB2312"/>
          <w:sz w:val="28"/>
          <w:u w:val="single"/>
        </w:rPr>
        <w:t xml:space="preserve"> </w:t>
      </w:r>
      <w:r>
        <w:rPr>
          <w:rFonts w:hint="eastAsia" w:eastAsia="楷体_GB2312"/>
          <w:sz w:val="28"/>
          <w:u w:val="single"/>
          <w:lang w:val="en-US" w:eastAsia="zh-CN"/>
        </w:rPr>
        <w:t>2026</w:t>
      </w:r>
      <w:r>
        <w:rPr>
          <w:rFonts w:eastAsia="楷体_GB2312"/>
          <w:sz w:val="28"/>
          <w:u w:val="single"/>
        </w:rPr>
        <w:t xml:space="preserve">  </w:t>
      </w:r>
      <w:r>
        <w:rPr>
          <w:rFonts w:hint="eastAsia" w:eastAsia="楷体_GB2312"/>
          <w:sz w:val="28"/>
        </w:rPr>
        <w:t>年</w:t>
      </w:r>
      <w:r>
        <w:rPr>
          <w:rFonts w:hint="eastAsia" w:eastAsia="楷体_GB2312"/>
          <w:sz w:val="28"/>
          <w:u w:val="single"/>
        </w:rPr>
        <w:t xml:space="preserve"> </w:t>
      </w:r>
      <w:r>
        <w:rPr>
          <w:rFonts w:hint="eastAsia" w:eastAsia="楷体_GB2312"/>
          <w:sz w:val="28"/>
          <w:u w:val="single"/>
          <w:lang w:val="en-US" w:eastAsia="zh-CN"/>
        </w:rPr>
        <w:t>10</w:t>
      </w:r>
      <w:r>
        <w:rPr>
          <w:rFonts w:eastAsia="楷体_GB2312"/>
          <w:sz w:val="28"/>
          <w:u w:val="single"/>
        </w:rPr>
        <w:t xml:space="preserve">  </w:t>
      </w:r>
      <w:r>
        <w:rPr>
          <w:rFonts w:hint="eastAsia" w:eastAsia="楷体_GB2312"/>
          <w:sz w:val="28"/>
        </w:rPr>
        <w:t>月</w:t>
      </w:r>
      <w:r>
        <w:rPr>
          <w:rFonts w:hint="eastAsia" w:eastAsia="楷体_GB2312"/>
          <w:sz w:val="28"/>
          <w:u w:val="single"/>
        </w:rPr>
        <w:t xml:space="preserve"> </w:t>
      </w:r>
      <w:r>
        <w:rPr>
          <w:rFonts w:hint="eastAsia" w:eastAsia="楷体_GB2312"/>
          <w:sz w:val="28"/>
          <w:u w:val="single"/>
          <w:lang w:val="en-US" w:eastAsia="zh-CN"/>
        </w:rPr>
        <w:t>17</w:t>
      </w:r>
      <w:r>
        <w:rPr>
          <w:rFonts w:eastAsia="楷体_GB2312"/>
          <w:sz w:val="28"/>
          <w:u w:val="single"/>
        </w:rPr>
        <w:t xml:space="preserve"> </w:t>
      </w:r>
      <w:r>
        <w:rPr>
          <w:rFonts w:hint="eastAsia" w:eastAsia="楷体_GB2312"/>
          <w:sz w:val="28"/>
          <w:u w:val="single"/>
        </w:rPr>
        <w:t xml:space="preserve"> </w:t>
      </w:r>
      <w:r>
        <w:rPr>
          <w:rFonts w:hint="eastAsia" w:eastAsia="楷体_GB2312"/>
          <w:sz w:val="28"/>
        </w:rPr>
        <w:t>日</w:t>
      </w:r>
    </w:p>
    <w:p w14:paraId="416C444B">
      <w:pPr>
        <w:spacing w:line="600" w:lineRule="auto"/>
        <w:ind w:firstLine="2100" w:firstLineChars="750"/>
        <w:rPr>
          <w:rFonts w:ascii="仿宋_GB2312"/>
          <w:bCs/>
          <w:u w:val="single"/>
        </w:rPr>
      </w:pPr>
      <w:r>
        <w:rPr>
          <w:rFonts w:hint="eastAsia" w:eastAsia="楷体_GB2312"/>
          <w:sz w:val="28"/>
        </w:rPr>
        <w:t>成绩</w:t>
      </w:r>
      <w:r>
        <w:rPr>
          <w:rFonts w:eastAsia="楷体_GB2312"/>
          <w:sz w:val="28"/>
        </w:rPr>
        <w:t>：</w:t>
      </w:r>
      <w:r>
        <w:rPr>
          <w:rFonts w:hint="eastAsia" w:ascii="仿宋_GB2312"/>
          <w:bCs/>
          <w:u w:val="single"/>
        </w:rPr>
        <w:t xml:space="preserve">                                  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3"/>
      </w:tblGrid>
      <w:tr w14:paraId="70706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1" w:hRule="atLeast"/>
          <w:jc w:val="center"/>
        </w:trPr>
        <w:tc>
          <w:tcPr>
            <w:tcW w:w="8383" w:type="dxa"/>
          </w:tcPr>
          <w:p w14:paraId="7184D7F8">
            <w:pPr>
              <w:ind w:right="-357"/>
              <w:rPr>
                <w:rFonts w:ascii="仿宋_GB2312" w:eastAsia="仿宋_GB2312"/>
              </w:rPr>
            </w:pPr>
            <w:r>
              <w:rPr>
                <w:rFonts w:hint="eastAsia" w:ascii="仿宋_GB2312" w:eastAsia="仿宋_GB2312"/>
              </w:rPr>
              <w:t>教师</w:t>
            </w:r>
            <w:r>
              <w:rPr>
                <w:rFonts w:ascii="仿宋_GB2312" w:eastAsia="仿宋_GB2312"/>
              </w:rPr>
              <w:t>评语：</w:t>
            </w:r>
          </w:p>
          <w:p w14:paraId="105E466C">
            <w:pPr>
              <w:ind w:right="-357"/>
              <w:rPr>
                <w:rFonts w:ascii="仿宋_GB2312" w:eastAsia="仿宋_GB2312"/>
              </w:rPr>
            </w:pPr>
            <w:r>
              <w:rPr>
                <w:rFonts w:hint="eastAsia" w:ascii="仿宋_GB2312" w:eastAsia="仿宋_GB2312"/>
              </w:rPr>
              <w:t>1.选题新颖，设计方案合理;</w:t>
            </w:r>
          </w:p>
          <w:p w14:paraId="0BC0647F">
            <w:pPr>
              <w:ind w:right="-357"/>
              <w:rPr>
                <w:rFonts w:ascii="仿宋_GB2312" w:eastAsia="仿宋_GB2312"/>
              </w:rPr>
            </w:pPr>
            <w:r>
              <w:rPr>
                <w:rFonts w:hint="eastAsia" w:ascii="仿宋_GB2312" w:eastAsia="仿宋_GB2312"/>
              </w:rPr>
              <w:t>2.编程规范，功能结构完备;</w:t>
            </w:r>
          </w:p>
          <w:p w14:paraId="6EDC05A5">
            <w:pPr>
              <w:ind w:right="-357"/>
              <w:rPr>
                <w:rFonts w:ascii="仿宋_GB2312" w:eastAsia="仿宋_GB2312"/>
              </w:rPr>
            </w:pPr>
            <w:r>
              <w:rPr>
                <w:rFonts w:hint="eastAsia" w:ascii="仿宋_GB2312" w:eastAsia="仿宋_GB2312"/>
              </w:rPr>
              <w:t>3.报告文理通顺，图表规范;</w:t>
            </w:r>
          </w:p>
          <w:p w14:paraId="44B1B4C3">
            <w:pPr>
              <w:ind w:right="-357"/>
              <w:rPr>
                <w:rFonts w:ascii="仿宋_GB2312" w:eastAsia="仿宋_GB2312"/>
              </w:rPr>
            </w:pPr>
            <w:r>
              <w:rPr>
                <w:rFonts w:hint="eastAsia" w:ascii="仿宋_GB2312" w:eastAsia="仿宋_GB2312"/>
              </w:rPr>
              <w:t>4.报告能够清晰地分析和阐述本人的工作内容;</w:t>
            </w:r>
          </w:p>
        </w:tc>
      </w:tr>
    </w:tbl>
    <w:p w14:paraId="231BBEB1">
      <w:pPr>
        <w:jc w:val="center"/>
        <w:rPr>
          <w:b/>
          <w:bCs/>
          <w:sz w:val="44"/>
          <w:szCs w:val="44"/>
        </w:rPr>
        <w:sectPr>
          <w:headerReference r:id="rId6" w:type="first"/>
          <w:headerReference r:id="rId5" w:type="default"/>
          <w:pgSz w:w="11906" w:h="16838"/>
          <w:pgMar w:top="1869" w:right="1800" w:bottom="1440" w:left="1800" w:header="851" w:footer="992" w:gutter="0"/>
          <w:cols w:space="720" w:num="1"/>
          <w:titlePg/>
          <w:docGrid w:type="lines" w:linePitch="312" w:charSpace="0"/>
        </w:sectPr>
      </w:pPr>
    </w:p>
    <w:p w14:paraId="6E30A54C">
      <w:pPr>
        <w:pStyle w:val="27"/>
        <w:keepNext w:val="0"/>
        <w:widowControl/>
        <w:snapToGrid w:val="0"/>
        <w:spacing w:before="0" w:after="180" w:line="360" w:lineRule="auto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基于 micro:bit 的易碎品运输记录系统</w:t>
      </w:r>
    </w:p>
    <w:p w14:paraId="2A9C6D67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本设计面向易碎品搬运中的异常状态记录需求，以 micro:bit V1 为核心，结合板载加速度计、碰撞开关模块和电位计，实现冲击、持续倾斜与开箱事件的检测、计数、提示及电脑端导出。系统采用分层程序结构，通过阈值回差、时间确认和开关消抖减少重复记录。一次演示记录持续 69.3 s，累计记录冲击 5 次、持续倾斜 2 次和开箱 2 次，能够完成异常事件查看与 CSV 留存。</w:t>
      </w:r>
      <w:bookmarkStart w:id="0" w:name="_GoBack"/>
      <w:bookmarkEnd w:id="0"/>
    </w:p>
    <w:p w14:paraId="41B4BDFD">
      <w:pPr>
        <w:pStyle w:val="2"/>
        <w:keepNext/>
        <w:pageBreakBefore w:val="0"/>
        <w:widowControl/>
        <w:snapToGrid w:val="0"/>
        <w:spacing w:before="16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一、设计目的要求</w:t>
      </w:r>
    </w:p>
    <w:p w14:paraId="0AA02E92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课程设计将传感器采集、嵌入式判定、人机交互和上位机数据管理组成一个完整电子系统。设计目标是在有限硬件资源下记录运输异常发生的类型、时间和采样值，使操作者能够在运输结束后回看过程，为检查包装和分析搬运情况提供依据。</w:t>
      </w:r>
    </w:p>
    <w:p w14:paraId="0AE6527F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具体要求为：能够识别冲击、持续倾斜和开箱三类事件；能够在启运前选择灵敏度并在运输期间锁定；提供开始、结束和静音操作；显示当前状态及累计次数；能够读取最近事件并导出到电脑。原型使用碰撞开关模拟箱盖，重点验证电子系统与记录流程。</w:t>
      </w:r>
    </w:p>
    <w:p w14:paraId="28080783">
      <w:pPr>
        <w:pStyle w:val="2"/>
        <w:keepNext/>
        <w:pageBreakBefore w:val="0"/>
        <w:widowControl/>
        <w:snapToGrid w:val="0"/>
        <w:spacing w:before="16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二、设计需求分析</w:t>
      </w:r>
    </w:p>
    <w:p w14:paraId="6A1739C3">
      <w:pPr>
        <w:pStyle w:val="3"/>
        <w:keepNext/>
        <w:pageBreakBefore w:val="0"/>
        <w:widowControl/>
        <w:snapToGrid w:val="0"/>
        <w:spacing w:before="10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2.1 应用场景与功能需求</w:t>
      </w:r>
    </w:p>
    <w:p w14:paraId="24FF397F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易碎品在搬运中既可能受到瞬时碰撞，也可能长时间处于不利姿态，或出现中途开箱。三类情况的时间特征不同，需要分别判定。系统采用本地检测和电脑查看相结合的方式，板端负责连续采样与事件确认，电脑端负责显示、读取和留存。</w:t>
      </w:r>
    </w:p>
    <w:tbl>
      <w:tblPr>
        <w:tblStyle w:val="1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304"/>
        <w:gridCol w:w="3061"/>
        <w:gridCol w:w="3940"/>
      </w:tblGrid>
      <w:tr w14:paraId="0D9E32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EDEDED"/>
            <w:vAlign w:val="center"/>
          </w:tcPr>
          <w:p w14:paraId="6F7CE96E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需求</w:t>
            </w:r>
          </w:p>
        </w:tc>
        <w:tc>
          <w:tcPr>
            <w:tcW w:w="3061" w:type="dxa"/>
            <w:shd w:val="clear" w:color="auto" w:fill="EDEDED"/>
            <w:vAlign w:val="center"/>
          </w:tcPr>
          <w:p w14:paraId="6962ED19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实现方式</w:t>
            </w:r>
          </w:p>
        </w:tc>
        <w:tc>
          <w:tcPr>
            <w:tcW w:w="3940" w:type="dxa"/>
            <w:shd w:val="clear" w:color="auto" w:fill="EDEDED"/>
            <w:vAlign w:val="center"/>
          </w:tcPr>
          <w:p w14:paraId="37386F0A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记录内容</w:t>
            </w:r>
          </w:p>
        </w:tc>
      </w:tr>
      <w:tr w14:paraId="40C68E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72DFEE55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冲击监测</w:t>
            </w:r>
          </w:p>
        </w:tc>
        <w:tc>
          <w:tcPr>
            <w:tcW w:w="3061" w:type="dxa"/>
            <w:vAlign w:val="center"/>
          </w:tcPr>
          <w:p w14:paraId="12FE7309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归一化合加速度超过所选阈值</w:t>
            </w:r>
          </w:p>
        </w:tc>
        <w:tc>
          <w:tcPr>
            <w:tcW w:w="3940" w:type="dxa"/>
            <w:vAlign w:val="center"/>
          </w:tcPr>
          <w:p w14:paraId="592E40C2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发生时刻与首次超阈值采样值</w:t>
            </w:r>
          </w:p>
        </w:tc>
      </w:tr>
      <w:tr w14:paraId="1DB22C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5F55E63F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倾斜监测</w:t>
            </w:r>
          </w:p>
        </w:tc>
        <w:tc>
          <w:tcPr>
            <w:tcW w:w="3061" w:type="dxa"/>
            <w:vAlign w:val="center"/>
          </w:tcPr>
          <w:p w14:paraId="3C76E493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相对启运姿态倾斜并持续确认</w:t>
            </w:r>
          </w:p>
        </w:tc>
        <w:tc>
          <w:tcPr>
            <w:tcW w:w="3940" w:type="dxa"/>
            <w:vAlign w:val="center"/>
          </w:tcPr>
          <w:p w14:paraId="07ECD30C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发生时刻与倾斜角度</w:t>
            </w:r>
          </w:p>
        </w:tc>
      </w:tr>
      <w:tr w14:paraId="01B35F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33CE227A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开箱监测</w:t>
            </w:r>
          </w:p>
        </w:tc>
        <w:tc>
          <w:tcPr>
            <w:tcW w:w="3061" w:type="dxa"/>
            <w:vAlign w:val="center"/>
          </w:tcPr>
          <w:p w14:paraId="05D06CF0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箱盖开关消抖后识别状态变化</w:t>
            </w:r>
          </w:p>
        </w:tc>
        <w:tc>
          <w:tcPr>
            <w:tcW w:w="3940" w:type="dxa"/>
            <w:vAlign w:val="center"/>
          </w:tcPr>
          <w:p w14:paraId="654A2BA0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发生时刻与开关电平</w:t>
            </w:r>
          </w:p>
        </w:tc>
      </w:tr>
      <w:tr w14:paraId="24C796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5A6E1CB5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交互与留存</w:t>
            </w:r>
          </w:p>
        </w:tc>
        <w:tc>
          <w:tcPr>
            <w:tcW w:w="3061" w:type="dxa"/>
            <w:vAlign w:val="center"/>
          </w:tcPr>
          <w:p w14:paraId="13E8D816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LED、按键、蜂鸣器和电脑界面</w:t>
            </w:r>
          </w:p>
        </w:tc>
        <w:tc>
          <w:tcPr>
            <w:tcW w:w="3940" w:type="dxa"/>
            <w:vAlign w:val="center"/>
          </w:tcPr>
          <w:p w14:paraId="7BAEDF65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累计次数、最近事件与导出摘要</w:t>
            </w:r>
          </w:p>
        </w:tc>
      </w:tr>
    </w:tbl>
    <w:p w14:paraId="660788B4">
      <w:pPr>
        <w:pStyle w:val="3"/>
        <w:keepNext/>
        <w:pageBreakBefore/>
        <w:widowControl/>
        <w:snapToGrid w:val="0"/>
        <w:spacing w:before="10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2.2 系统方案与硬件连接</w:t>
      </w:r>
    </w:p>
    <w:p w14:paraId="4CB0E084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系统由采集、处理、提示和电脑管理四部分组成。板载加速度计提供三轴数据；碰撞开关向 P1 提供箱盖状态；电位计向 P2 提供灵敏度选择值。micro:bit 完成事件判定后更新计数和缓存，通过 LED 与蜂鸣器提示，并经 USB 串口向电脑发送状态及事件。</w:t>
      </w:r>
    </w:p>
    <w:p w14:paraId="3C767D68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信号流程为：传感器输入 → micro:bit 采样与判定 → 内存事件缓存 → USB 串口 → 上位机显示与 CSV / JSON 导出。硬件采用扩展板连接，整体实物如图 1 所示。</w:t>
      </w:r>
    </w:p>
    <w:tbl>
      <w:tblPr>
        <w:tblStyle w:val="1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814"/>
        <w:gridCol w:w="1814"/>
        <w:gridCol w:w="4677"/>
      </w:tblGrid>
      <w:tr w14:paraId="7865A4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EDEDED"/>
            <w:vAlign w:val="center"/>
          </w:tcPr>
          <w:p w14:paraId="1EE38FE5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部件</w:t>
            </w:r>
          </w:p>
        </w:tc>
        <w:tc>
          <w:tcPr>
            <w:tcW w:w="1814" w:type="dxa"/>
            <w:shd w:val="clear" w:color="auto" w:fill="EDEDED"/>
            <w:vAlign w:val="center"/>
          </w:tcPr>
          <w:p w14:paraId="2EF74D20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接口</w:t>
            </w:r>
          </w:p>
        </w:tc>
        <w:tc>
          <w:tcPr>
            <w:tcW w:w="4677" w:type="dxa"/>
            <w:shd w:val="clear" w:color="auto" w:fill="EDEDED"/>
            <w:vAlign w:val="center"/>
          </w:tcPr>
          <w:p w14:paraId="680BB218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用途及连接要点</w:t>
            </w:r>
          </w:p>
        </w:tc>
      </w:tr>
      <w:tr w14:paraId="5C81D6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85F178C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micro:bit V1</w:t>
            </w:r>
          </w:p>
        </w:tc>
        <w:tc>
          <w:tcPr>
            <w:tcW w:w="1814" w:type="dxa"/>
            <w:vAlign w:val="center"/>
          </w:tcPr>
          <w:p w14:paraId="256C3169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扩展板主控插槽</w:t>
            </w:r>
          </w:p>
        </w:tc>
        <w:tc>
          <w:tcPr>
            <w:tcW w:w="4677" w:type="dxa"/>
            <w:vAlign w:val="center"/>
          </w:tcPr>
          <w:p w14:paraId="45AD9CC8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板载加速度计采集；LED 与 A/B 按键交互</w:t>
            </w:r>
          </w:p>
        </w:tc>
      </w:tr>
      <w:tr w14:paraId="2D7C67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061ACFA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碰撞开关模块</w:t>
            </w:r>
          </w:p>
        </w:tc>
        <w:tc>
          <w:tcPr>
            <w:tcW w:w="1814" w:type="dxa"/>
            <w:vAlign w:val="center"/>
          </w:tcPr>
          <w:p w14:paraId="202139B7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P1</w:t>
            </w:r>
          </w:p>
        </w:tc>
        <w:tc>
          <w:tcPr>
            <w:tcW w:w="4677" w:type="dxa"/>
            <w:vAlign w:val="center"/>
          </w:tcPr>
          <w:p w14:paraId="574403B9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模拟合盖与开盖，按实际状态标定电平</w:t>
            </w:r>
          </w:p>
        </w:tc>
      </w:tr>
      <w:tr w14:paraId="4E68EF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2847E8D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电位计模块</w:t>
            </w:r>
          </w:p>
        </w:tc>
        <w:tc>
          <w:tcPr>
            <w:tcW w:w="1814" w:type="dxa"/>
            <w:vAlign w:val="center"/>
          </w:tcPr>
          <w:p w14:paraId="01231FA9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P2 模拟输入</w:t>
            </w:r>
          </w:p>
        </w:tc>
        <w:tc>
          <w:tcPr>
            <w:tcW w:w="4677" w:type="dxa"/>
            <w:vAlign w:val="center"/>
          </w:tcPr>
          <w:p w14:paraId="47DCEDC1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读取 0～1023，启运时选择并锁定三档灵敏度</w:t>
            </w:r>
          </w:p>
        </w:tc>
      </w:tr>
      <w:tr w14:paraId="56860E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5E0DFCD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扩展板蜂鸣器</w:t>
            </w:r>
          </w:p>
        </w:tc>
        <w:tc>
          <w:tcPr>
            <w:tcW w:w="1814" w:type="dxa"/>
            <w:vAlign w:val="center"/>
          </w:tcPr>
          <w:p w14:paraId="697ABBE8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</w:t>
            </w:r>
          </w:p>
        </w:tc>
        <w:tc>
          <w:tcPr>
            <w:tcW w:w="4677" w:type="dxa"/>
            <w:vAlign w:val="center"/>
          </w:tcPr>
          <w:p w14:paraId="4BC86894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异常事件短音提示，需打开板上蜂鸣器开关</w:t>
            </w:r>
          </w:p>
        </w:tc>
      </w:tr>
      <w:tr w14:paraId="580091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8A7845B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电脑连接</w:t>
            </w:r>
          </w:p>
        </w:tc>
        <w:tc>
          <w:tcPr>
            <w:tcW w:w="1814" w:type="dxa"/>
            <w:vAlign w:val="center"/>
          </w:tcPr>
          <w:p w14:paraId="0197E8C6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micro:bit USB</w:t>
            </w:r>
          </w:p>
        </w:tc>
        <w:tc>
          <w:tcPr>
            <w:tcW w:w="4677" w:type="dxa"/>
            <w:vAlign w:val="center"/>
          </w:tcPr>
          <w:p w14:paraId="7630E814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提供供电、串口通信及记录导出</w:t>
            </w:r>
          </w:p>
        </w:tc>
      </w:tr>
    </w:tbl>
    <w:p w14:paraId="7D5A8B9A">
      <w:pPr>
        <w:keepNext/>
        <w:widowControl/>
        <w:snapToGrid w:val="0"/>
        <w:spacing w:before="0" w:after="40" w:line="240" w:lineRule="auto"/>
        <w:ind w:firstLine="0"/>
        <w:jc w:val="center"/>
      </w:pPr>
      <w:r>
        <w:drawing>
          <wp:inline distT="0" distB="0" distL="114300" distR="114300">
            <wp:extent cx="2429510" cy="3239770"/>
            <wp:effectExtent l="0" t="0" r="8890" b="17780"/>
            <wp:docPr id="2" name="Picture 2" descr="29d733a590cd792219c5df62d203fc9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9d733a590cd792219c5df62d203fc9b.jp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52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4E69">
      <w:pPr>
        <w:keepNext w:val="0"/>
        <w:widowControl/>
        <w:snapToGrid w:val="0"/>
        <w:spacing w:before="0" w:after="12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 1 运输记录系统整体连接及外接模块实物</w:t>
      </w:r>
    </w:p>
    <w:p w14:paraId="3116905F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图中外接旋钮为电位计，另一模块为碰撞检测开关。扩展板上的接口虽然采用 USB 外形，仍应按板上引脚标识连接传感器。J3 及与显示、按键复用的接口保持空闲，以减少资源冲突。</w:t>
      </w:r>
    </w:p>
    <w:p w14:paraId="4FB2D90F">
      <w:pPr>
        <w:pStyle w:val="2"/>
        <w:keepNext/>
        <w:pageBreakBefore/>
        <w:widowControl/>
        <w:snapToGrid w:val="0"/>
        <w:spacing w:before="16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三、功能具体描述</w:t>
      </w:r>
    </w:p>
    <w:p w14:paraId="193B51A4">
      <w:pPr>
        <w:pStyle w:val="3"/>
        <w:keepNext/>
        <w:pageBreakBefore w:val="0"/>
        <w:widowControl/>
        <w:snapToGrid w:val="0"/>
        <w:spacing w:before="10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3.1 主控点阵状态显示</w:t>
      </w:r>
    </w:p>
    <w:p w14:paraId="74EE11B4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主控采用 micro:bit V1，插接在 armkids 扩展板上，通过 USB 连接电脑，并使用板上蜂鸣器输出提示音。图 2、图 3 和图 4 分别展示持续倾斜、冲击和开箱事件对应的 T、S、O 点阵状态。</w:t>
      </w:r>
    </w:p>
    <w:p w14:paraId="35FA5735">
      <w:pPr>
        <w:keepNext/>
        <w:widowControl/>
        <w:snapToGrid w:val="0"/>
        <w:spacing w:before="0" w:after="40" w:line="240" w:lineRule="auto"/>
        <w:ind w:firstLine="0"/>
        <w:jc w:val="center"/>
      </w:pPr>
      <w:r>
        <w:drawing>
          <wp:inline distT="0" distB="0" distL="114300" distR="114300">
            <wp:extent cx="3743960" cy="2807335"/>
            <wp:effectExtent l="0" t="0" r="8890" b="12065"/>
            <wp:docPr id="3" name="Picture 3" descr="9e2991773c462b2a1fb9bf8a0354d23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9e2991773c462b2a1fb9bf8a0354d23a.jp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80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CFAA">
      <w:pPr>
        <w:keepNext w:val="0"/>
        <w:widowControl/>
        <w:snapToGrid w:val="0"/>
        <w:spacing w:before="0" w:after="12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 2 持续倾斜状态的 T 点阵显示</w:t>
      </w:r>
    </w:p>
    <w:p w14:paraId="63F421EB">
      <w:pPr>
        <w:keepNext/>
        <w:widowControl/>
        <w:snapToGrid w:val="0"/>
        <w:spacing w:before="0" w:after="40" w:line="240" w:lineRule="auto"/>
        <w:ind w:firstLine="0"/>
        <w:jc w:val="center"/>
      </w:pPr>
      <w:r>
        <w:drawing>
          <wp:inline distT="0" distB="0" distL="114300" distR="114300">
            <wp:extent cx="1889760" cy="2520315"/>
            <wp:effectExtent l="0" t="0" r="1524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" cy="252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114300" distR="114300">
            <wp:extent cx="1889760" cy="2520315"/>
            <wp:effectExtent l="0" t="0" r="1524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" cy="252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1A85">
      <w:pPr>
        <w:keepNext w:val="0"/>
        <w:widowControl/>
        <w:snapToGrid w:val="0"/>
        <w:spacing w:before="0" w:after="12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 3 冲击状态 S（左）与图 4 开箱状态 O（右）</w:t>
      </w:r>
    </w:p>
    <w:p w14:paraId="7C1DF7B2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三张照片展示的是异常事件对应的点阵字符：图 2 显示 T，表示持续倾斜；图 3 左侧显示 S，表示冲击；图 4 右侧显示 O，表示开箱。点阵提示最新事件类型，累计次数和具体记录由上位机查看。待机时显示 1、2 或 3 以提示灵敏度，开始监测且尚无事件时显示 R。</w:t>
      </w:r>
    </w:p>
    <w:p w14:paraId="092152F2">
      <w:pPr>
        <w:pStyle w:val="3"/>
        <w:keepNext/>
        <w:pageBreakBefore/>
        <w:widowControl/>
        <w:snapToGrid w:val="0"/>
        <w:spacing w:before="10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3.2 冲击检测与持续倾斜判定</w:t>
      </w:r>
    </w:p>
    <w:p w14:paraId="6AE80E2E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启运时保存加速度向量及其幅值作为基准。后续合加速度按基准归一化；代码中的 g 以千分之一 g 为单位，1500 对应 1.50g。电位计在启运时选定低、中、高灵敏度，对应阈值 1.75g、1.50g 和 1.25g，运输期间保持锁定。</w:t>
      </w:r>
    </w:p>
    <w:p w14:paraId="66B843AB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冲击首次超阈值时记录 S；采样值回落至阈值的约 85% 以下，且触发间隔满 500 ms 后才可再次记录。事件保存首次触发值，peak 独立保存全过程最大采样值。</w:t>
      </w:r>
    </w:p>
    <w:p w14:paraId="6BF2102C">
      <w:pPr>
        <w:keepNext/>
        <w:widowControl/>
        <w:snapToGrid w:val="0"/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color w:val="000000"/>
          <w:sz w:val="19"/>
        </w:rPr>
        <w:t>代码 1 冲击检测与回差复位（firmware/parcel_core.py）</w:t>
      </w:r>
    </w:p>
    <w:p w14:paraId="24D367A1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g=self.strength*1000//self.g0</w:t>
      </w:r>
    </w:p>
    <w:p w14:paraId="6D2CDD0A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self.peak=max(self.peak,g)</w:t>
      </w:r>
    </w:p>
    <w:p w14:paraId="1032D42F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if g&gt;=self.limit and not self.high and now&gt;=self.ready:</w:t>
      </w:r>
    </w:p>
    <w:p w14:paraId="10BE71E2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self.event('S',now,g)</w:t>
      </w:r>
    </w:p>
    <w:p w14:paraId="4A7391B9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self.high=True</w:t>
      </w:r>
    </w:p>
    <w:p w14:paraId="3AAC2B5A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self.ready=now+500</w:t>
      </w:r>
    </w:p>
    <w:p w14:paraId="6D51051B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if g&lt;self.limit*85//100:</w:t>
      </w:r>
    </w:p>
    <w:p w14:paraId="181DAA22">
      <w:pPr>
        <w:keepNext w:val="0"/>
        <w:keepLines/>
        <w:widowControl/>
        <w:snapToGrid w:val="0"/>
        <w:spacing w:before="0" w:after="12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self.high=False</w:t>
      </w:r>
    </w:p>
    <w:p w14:paraId="5E94182B">
      <w:pPr>
        <w:pStyle w:val="3"/>
        <w:keepNext/>
        <w:pageBreakBefore w:val="0"/>
        <w:widowControl/>
        <w:snapToGrid w:val="0"/>
        <w:spacing w:before="10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相对倾角与持续时间确认</w:t>
      </w:r>
    </w:p>
    <w:p w14:paraId="5631A1B3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相对倾角由当前加速度向量 a 与启运基准 a0 的夹角计算，约每 100 ms 更新一次。只有幅值处于约 0.8g～1.2g、倾角达到 45° 且持续 2 s，才记录 T；回到约 35° 以内后允许再次触发。</w:t>
      </w:r>
    </w:p>
    <w:p w14:paraId="791339E8">
      <w:pPr>
        <w:keepNext w:val="0"/>
        <w:widowControl/>
        <w:snapToGrid w:val="0"/>
        <w:spacing w:before="0" w:after="8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θ = arccos[(a · a0) / (|a| |a0|)] × 180 / π</w:t>
      </w:r>
    </w:p>
    <w:p w14:paraId="26746C5D">
      <w:pPr>
        <w:keepNext/>
        <w:widowControl/>
        <w:snapToGrid w:val="0"/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color w:val="000000"/>
          <w:sz w:val="19"/>
        </w:rPr>
        <w:t>代码 2 持续倾斜计时与复位（firmware/parcel_core.py）</w:t>
      </w:r>
    </w:p>
    <w:p w14:paraId="3CAB4D2B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if 800&lt;=g&lt;=1200 and self.angle&gt;=45:</w:t>
      </w:r>
    </w:p>
    <w:p w14:paraId="19400622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self.tilt_at&lt;0:</w:t>
      </w:r>
    </w:p>
    <w:p w14:paraId="0850E047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self.tilt_at=now</w:t>
      </w:r>
    </w:p>
    <w:p w14:paraId="6ECE23FE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not self.tilt and now-self.tilt_at&gt;=2000:</w:t>
      </w:r>
    </w:p>
    <w:p w14:paraId="63A44D72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self.event('T',now,self.angle)</w:t>
      </w:r>
    </w:p>
    <w:p w14:paraId="03A1E5EA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self.tilt=True</w:t>
      </w:r>
    </w:p>
    <w:p w14:paraId="39791630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else:</w:t>
      </w:r>
    </w:p>
    <w:p w14:paraId="3EE7C77A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self.tilt_at=-1</w:t>
      </w:r>
    </w:p>
    <w:p w14:paraId="4D90376D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self.angle&lt;=35:</w:t>
      </w:r>
    </w:p>
    <w:p w14:paraId="3DE343F2">
      <w:pPr>
        <w:keepNext w:val="0"/>
        <w:keepLines/>
        <w:widowControl/>
        <w:snapToGrid w:val="0"/>
        <w:spacing w:before="0" w:after="12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self.tilt=False</w:t>
      </w:r>
    </w:p>
    <w:p w14:paraId="1F6E7F50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上述代码节选自 Recorder.step。该方法适用于近似静止或缓慢变化的姿态；快速运动会干扰重力方向，极短冲击也可能落在采样间隔内，因此数据表示采样加速度。</w:t>
      </w:r>
    </w:p>
    <w:p w14:paraId="77DB6E66">
      <w:pPr>
        <w:pStyle w:val="3"/>
        <w:keepNext/>
        <w:pageBreakBefore/>
        <w:widowControl/>
        <w:snapToGrid w:val="0"/>
        <w:spacing w:before="10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3.3 箱盖检测与事件缓存</w:t>
      </w:r>
    </w:p>
    <w:p w14:paraId="46A3E6CA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P1 读取碰撞开关，原始电平稳定 60 ms 后更新箱盖状态。监测时仅记录“合盖 → 开盖”的变化，保持开盖不重复计数。默认合盖电平为 1，安装极性相反时可通过两步标定调整。</w:t>
      </w:r>
    </w:p>
    <w:p w14:paraId="4EFF6215">
      <w:pPr>
        <w:keepNext/>
        <w:widowControl/>
        <w:snapToGrid w:val="0"/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color w:val="000000"/>
          <w:sz w:val="19"/>
        </w:rPr>
        <w:t>代码 3 开关消抖与开箱事件确认（firmware/parcel_core.py）</w:t>
      </w:r>
    </w:p>
    <w:p w14:paraId="184D0B53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if switch!=self.raw:</w:t>
      </w:r>
    </w:p>
    <w:p w14:paraId="5D44C31F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self.raw=switch</w:t>
      </w:r>
    </w:p>
    <w:p w14:paraId="7F041FE2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self.changed=now</w:t>
      </w:r>
    </w:p>
    <w:p w14:paraId="167FF1F7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if now-self.changed&gt;=60 and self.pin!=switch:</w:t>
      </w:r>
    </w:p>
    <w:p w14:paraId="01E0E6D2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old=self.pin</w:t>
      </w:r>
    </w:p>
    <w:p w14:paraId="06003985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self.pin=switch</w:t>
      </w:r>
    </w:p>
    <w:p w14:paraId="57775195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self.state=='R' and old==self.closed and switch!=self.closed:</w:t>
      </w:r>
    </w:p>
    <w:p w14:paraId="6E504220">
      <w:pPr>
        <w:keepNext w:val="0"/>
        <w:keepLines/>
        <w:widowControl/>
        <w:snapToGrid w:val="0"/>
        <w:spacing w:before="0" w:after="12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self.event('O',now,switch)</w:t>
      </w:r>
    </w:p>
    <w:p w14:paraId="5E346C09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启动前必须合盖，A 键开始或结束运输，B 键切换静音。启运时清空上次记录并锁定姿态基准和灵敏度；静音只关闭蜂鸣提示，检测与计数继续运行。</w:t>
      </w:r>
    </w:p>
    <w:p w14:paraId="1783E60C">
      <w:pPr>
        <w:pStyle w:val="3"/>
        <w:keepNext/>
        <w:pageBreakBefore w:val="0"/>
        <w:widowControl/>
        <w:snapToGrid w:val="0"/>
        <w:spacing w:before="10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事件计数与最近记录保存</w:t>
      </w:r>
    </w:p>
    <w:p w14:paraId="543C422F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event 方法按 S、T、O 更新分类计数，详情最多保留最近 16 条。缓存满时移除最早事件，累计次数继续增长。时间保存为启运后的毫秒数，事件类型和数值打包在一个整数中，以减少存储开销。</w:t>
      </w:r>
    </w:p>
    <w:p w14:paraId="758102E9">
      <w:pPr>
        <w:keepNext/>
        <w:widowControl/>
        <w:snapToGrid w:val="0"/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color w:val="000000"/>
          <w:sz w:val="19"/>
        </w:rPr>
        <w:t>代码 4 分类计数与有限事件缓存（firmware/parcel_core.py）</w:t>
      </w:r>
    </w:p>
    <w:p w14:paraId="5E969612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def event(self,kind,now,value):</w:t>
      </w:r>
    </w:p>
    <w:p w14:paraId="32F4671C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k='STO'.index(kind)</w:t>
      </w:r>
    </w:p>
    <w:p w14:paraId="6E6F5092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self.n+=1</w:t>
      </w:r>
    </w:p>
    <w:p w14:paraId="325F14F3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self.counts[k]+=1</w:t>
      </w:r>
    </w:p>
    <w:p w14:paraId="7B090606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len(self.events)==MAX_EVENTS:</w:t>
      </w:r>
    </w:p>
    <w:p w14:paraId="0E5B60E6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self.events.pop(0)</w:t>
      </w:r>
    </w:p>
    <w:p w14:paraId="34C712D3">
      <w:pPr>
        <w:keepNext w:val="0"/>
        <w:keepLines/>
        <w:widowControl/>
        <w:snapToGrid w:val="0"/>
        <w:spacing w:before="0" w:after="12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self.events.append((now-self.start,k*65536+value))</w:t>
      </w:r>
    </w:p>
    <w:p w14:paraId="39B62314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程序分为入口、核心判定、硬件采样和命令处理模块。主循环休眠约 20 ms，每约 250 ms 上报状态；实际周期还包含运算与通信时间。基础版记录仅保存在内存，断电、重启或再次启运会清除，须提前导出。</w:t>
      </w:r>
    </w:p>
    <w:p w14:paraId="630F3C9B">
      <w:pPr>
        <w:pStyle w:val="3"/>
        <w:keepNext/>
        <w:pageBreakBefore/>
        <w:widowControl/>
        <w:snapToGrid w:val="0"/>
        <w:spacing w:before="10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3.4 上位机显示与记录导出</w:t>
      </w:r>
    </w:p>
    <w:p w14:paraId="59BEDEA9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上位机经 USB 串口以 115200 bit/s 连接设备，显示合加速度、倾角、累计次数、最近约 40 s 曲线和事件列表。图 5 中约 60.1 s 时读数为 0.99g、0°，累计冲击 5 次、倾斜 2 次、开箱 2 次，中灵敏度阈值锁定为 1.50g。</w:t>
      </w:r>
    </w:p>
    <w:p w14:paraId="329A5E72">
      <w:pPr>
        <w:keepNext/>
        <w:widowControl/>
        <w:snapToGrid w:val="0"/>
        <w:spacing w:before="0" w:after="40" w:line="240" w:lineRule="auto"/>
        <w:ind w:firstLine="0"/>
        <w:jc w:val="center"/>
      </w:pPr>
      <w:r>
        <w:drawing>
          <wp:inline distT="0" distB="0" distL="114300" distR="114300">
            <wp:extent cx="4607560" cy="3543300"/>
            <wp:effectExtent l="0" t="0" r="2540" b="0"/>
            <wp:docPr id="6" name="Picture 6" descr="d1e7ea01132096ec8ad995c2ee4c7f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1e7ea01132096ec8ad995c2ee4c7f25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5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6A23">
      <w:pPr>
        <w:keepNext w:val="0"/>
        <w:widowControl/>
        <w:snapToGrid w:val="0"/>
        <w:spacing w:before="0" w:after="12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 5 易碎品运输记录系统上位机监测界面</w:t>
      </w:r>
    </w:p>
    <w:p w14:paraId="3AA365C9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读取时用摘要、明细和结束标识组成快照，并核对编号、数量及连续序号。导出 CSV 使用 UTF-8 BOM 编码，同时生成 JSON。以下代码在创建 CSV writer 后写入事件，将毫秒转为秒、冲击采样值转为 g，并为三类事件保留不同单位。</w:t>
      </w:r>
    </w:p>
    <w:p w14:paraId="15CE5E20">
      <w:pPr>
        <w:keepNext/>
        <w:widowControl/>
        <w:snapToGrid w:val="0"/>
        <w:spacing w:before="0" w:after="60" w:line="360" w:lineRule="auto"/>
        <w:ind w:firstLine="0"/>
      </w:pPr>
      <w:r>
        <w:rPr>
          <w:rFonts w:ascii="Times New Roman" w:hAnsi="Times New Roman" w:eastAsia="宋体"/>
          <w:b/>
          <w:color w:val="000000"/>
          <w:sz w:val="19"/>
        </w:rPr>
        <w:t>代码 5 CSV 事件行写入与单位转换（host/parcel_protocol.py）</w:t>
      </w:r>
    </w:p>
    <w:p w14:paraId="5E4B1F3F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for e in snapshot['events']:</w:t>
      </w:r>
    </w:p>
    <w:p w14:paraId="64C516B4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value = e['value'] / 1000 if e['kind'] == 'S' else e['value']</w:t>
      </w:r>
    </w:p>
    <w:p w14:paraId="55162D6D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unit = {'S': 'g（采样值）', 'T': '度', 'O': '开关电平'}[e['kind']]</w:t>
      </w:r>
    </w:p>
    <w:p w14:paraId="5AA0BEA6">
      <w:pPr>
        <w:keepNext/>
        <w:keepLines/>
        <w:widowControl/>
        <w:snapToGrid w:val="0"/>
        <w:spacing w:before="0" w:after="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writer.writerow(['事件', e['trip'], e['id'], e['elapsed'] / 1000,</w:t>
      </w:r>
    </w:p>
    <w:p w14:paraId="6ED363F6">
      <w:pPr>
        <w:keepNext w:val="0"/>
        <w:keepLines/>
        <w:widowControl/>
        <w:snapToGrid w:val="0"/>
        <w:spacing w:before="0" w:after="120" w:line="240" w:lineRule="exact"/>
        <w:ind w:left="16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KINDS[e['kind']], value, unit] + [''] * 9)</w:t>
      </w:r>
    </w:p>
    <w:p w14:paraId="1291D9E3">
      <w:pPr>
        <w:pStyle w:val="3"/>
        <w:keepNext/>
        <w:pageBreakBefore/>
        <w:widowControl/>
        <w:snapToGrid w:val="0"/>
        <w:spacing w:before="10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3.5 演示数据与功能验证</w:t>
      </w:r>
    </w:p>
    <w:p w14:paraId="78AFAECF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该次运输结束后导出结果如图 6。运输编号为 1，时长 69.3 s，冲击阈值 1.50g，最大采样值 2.01g，累计和保留事件均为 9 条。明细如下，便于与截图核对。</w:t>
      </w:r>
    </w:p>
    <w:p w14:paraId="60F8AD10">
      <w:pPr>
        <w:keepNext/>
        <w:widowControl/>
        <w:snapToGrid w:val="0"/>
        <w:spacing w:before="0" w:after="40" w:line="240" w:lineRule="auto"/>
        <w:ind w:firstLine="0"/>
        <w:jc w:val="center"/>
      </w:pPr>
      <w:r>
        <w:drawing>
          <wp:inline distT="0" distB="0" distL="114300" distR="114300">
            <wp:extent cx="5237480" cy="959485"/>
            <wp:effectExtent l="0" t="0" r="1270" b="12065"/>
            <wp:docPr id="7" name="Picture 7" descr="896a41e79f5507e4ca4cf02c1a826a5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896a41e79f5507e4ca4cf02c1a826a5d.png"/>
                    <pic:cNvPicPr>
                      <a:picLocks noChangeAspect="1"/>
                    </pic:cNvPicPr>
                  </pic:nvPicPr>
                  <pic:blipFill>
                    <a:blip r:embed="rId15"/>
                    <a:srcRect b="54000"/>
                    <a:stretch>
                      <a:fillRect/>
                    </a:stretch>
                  </pic:blipFill>
                  <pic:spPr>
                    <a:xfrm>
                      <a:off x="0" y="0"/>
                      <a:ext cx="5238000" cy="95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663B">
      <w:pPr>
        <w:keepNext w:val="0"/>
        <w:widowControl/>
        <w:snapToGrid w:val="0"/>
        <w:spacing w:before="0" w:after="120"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 6 运输记录 CSV 导出结果</w:t>
      </w:r>
    </w:p>
    <w:tbl>
      <w:tblPr>
        <w:tblStyle w:val="1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907"/>
        <w:gridCol w:w="2381"/>
        <w:gridCol w:w="2324"/>
        <w:gridCol w:w="2693"/>
      </w:tblGrid>
      <w:tr w14:paraId="259F92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907" w:type="dxa"/>
            <w:shd w:val="clear" w:color="auto" w:fill="EDEDED"/>
            <w:vAlign w:val="center"/>
          </w:tcPr>
          <w:p w14:paraId="403EF061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序号</w:t>
            </w:r>
          </w:p>
        </w:tc>
        <w:tc>
          <w:tcPr>
            <w:tcW w:w="2381" w:type="dxa"/>
            <w:shd w:val="clear" w:color="auto" w:fill="EDEDED"/>
            <w:vAlign w:val="center"/>
          </w:tcPr>
          <w:p w14:paraId="19BF8DEE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启运后时间 / s</w:t>
            </w:r>
          </w:p>
        </w:tc>
        <w:tc>
          <w:tcPr>
            <w:tcW w:w="2324" w:type="dxa"/>
            <w:shd w:val="clear" w:color="auto" w:fill="EDEDED"/>
            <w:vAlign w:val="center"/>
          </w:tcPr>
          <w:p w14:paraId="61152F42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事件类型</w:t>
            </w:r>
          </w:p>
        </w:tc>
        <w:tc>
          <w:tcPr>
            <w:tcW w:w="2693" w:type="dxa"/>
            <w:shd w:val="clear" w:color="auto" w:fill="EDEDED"/>
            <w:vAlign w:val="center"/>
          </w:tcPr>
          <w:p w14:paraId="5F7C9A72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记录数值</w:t>
            </w:r>
          </w:p>
        </w:tc>
      </w:tr>
      <w:tr w14:paraId="4D72F6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3F36C15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w="2381" w:type="dxa"/>
            <w:vAlign w:val="center"/>
          </w:tcPr>
          <w:p w14:paraId="5D084D59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15.467</w:t>
            </w:r>
          </w:p>
        </w:tc>
        <w:tc>
          <w:tcPr>
            <w:tcW w:w="2324" w:type="dxa"/>
            <w:vAlign w:val="center"/>
          </w:tcPr>
          <w:p w14:paraId="082EF85F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持续倾斜</w:t>
            </w:r>
          </w:p>
        </w:tc>
        <w:tc>
          <w:tcPr>
            <w:tcW w:w="2693" w:type="dxa"/>
            <w:vAlign w:val="center"/>
          </w:tcPr>
          <w:p w14:paraId="3CB13B8B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89°</w:t>
            </w:r>
          </w:p>
        </w:tc>
      </w:tr>
      <w:tr w14:paraId="162E82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1E20067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w="2381" w:type="dxa"/>
            <w:vAlign w:val="center"/>
          </w:tcPr>
          <w:p w14:paraId="0365DD46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16.680</w:t>
            </w:r>
          </w:p>
        </w:tc>
        <w:tc>
          <w:tcPr>
            <w:tcW w:w="2324" w:type="dxa"/>
            <w:vAlign w:val="center"/>
          </w:tcPr>
          <w:p w14:paraId="31CE07B0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冲击</w:t>
            </w:r>
          </w:p>
        </w:tc>
        <w:tc>
          <w:tcPr>
            <w:tcW w:w="2693" w:type="dxa"/>
            <w:vAlign w:val="center"/>
          </w:tcPr>
          <w:p w14:paraId="5B0D338B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1.521g</w:t>
            </w:r>
          </w:p>
        </w:tc>
      </w:tr>
      <w:tr w14:paraId="2076EB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084A906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w="2381" w:type="dxa"/>
            <w:vAlign w:val="center"/>
          </w:tcPr>
          <w:p w14:paraId="4AAC43A0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21.154</w:t>
            </w:r>
          </w:p>
        </w:tc>
        <w:tc>
          <w:tcPr>
            <w:tcW w:w="2324" w:type="dxa"/>
            <w:vAlign w:val="center"/>
          </w:tcPr>
          <w:p w14:paraId="4419DAD2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冲击</w:t>
            </w:r>
          </w:p>
        </w:tc>
        <w:tc>
          <w:tcPr>
            <w:tcW w:w="2693" w:type="dxa"/>
            <w:vAlign w:val="center"/>
          </w:tcPr>
          <w:p w14:paraId="543EAD41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1.564g</w:t>
            </w:r>
          </w:p>
        </w:tc>
      </w:tr>
      <w:tr w14:paraId="3F4D97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B0ED011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w="2381" w:type="dxa"/>
            <w:vAlign w:val="center"/>
          </w:tcPr>
          <w:p w14:paraId="1774743F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33.860</w:t>
            </w:r>
          </w:p>
        </w:tc>
        <w:tc>
          <w:tcPr>
            <w:tcW w:w="2324" w:type="dxa"/>
            <w:vAlign w:val="center"/>
          </w:tcPr>
          <w:p w14:paraId="12339E42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开箱</w:t>
            </w:r>
          </w:p>
        </w:tc>
        <w:tc>
          <w:tcPr>
            <w:tcW w:w="2693" w:type="dxa"/>
            <w:vAlign w:val="center"/>
          </w:tcPr>
          <w:p w14:paraId="07C152AF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开关电平 0</w:t>
            </w:r>
          </w:p>
        </w:tc>
      </w:tr>
      <w:tr w14:paraId="649123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CF05637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</w:t>
            </w:r>
          </w:p>
        </w:tc>
        <w:tc>
          <w:tcPr>
            <w:tcW w:w="2381" w:type="dxa"/>
            <w:vAlign w:val="center"/>
          </w:tcPr>
          <w:p w14:paraId="6451C887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40.608</w:t>
            </w:r>
          </w:p>
        </w:tc>
        <w:tc>
          <w:tcPr>
            <w:tcW w:w="2324" w:type="dxa"/>
            <w:vAlign w:val="center"/>
          </w:tcPr>
          <w:p w14:paraId="65B6F670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冲击</w:t>
            </w:r>
          </w:p>
        </w:tc>
        <w:tc>
          <w:tcPr>
            <w:tcW w:w="2693" w:type="dxa"/>
            <w:vAlign w:val="center"/>
          </w:tcPr>
          <w:p w14:paraId="6E96A7F3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1.763g</w:t>
            </w:r>
          </w:p>
        </w:tc>
      </w:tr>
      <w:tr w14:paraId="7EC4DE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0C7D13C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</w:t>
            </w:r>
          </w:p>
        </w:tc>
        <w:tc>
          <w:tcPr>
            <w:tcW w:w="2381" w:type="dxa"/>
            <w:vAlign w:val="center"/>
          </w:tcPr>
          <w:p w14:paraId="02BB09F5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41.133</w:t>
            </w:r>
          </w:p>
        </w:tc>
        <w:tc>
          <w:tcPr>
            <w:tcW w:w="2324" w:type="dxa"/>
            <w:vAlign w:val="center"/>
          </w:tcPr>
          <w:p w14:paraId="74475949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冲击</w:t>
            </w:r>
          </w:p>
        </w:tc>
        <w:tc>
          <w:tcPr>
            <w:tcW w:w="2693" w:type="dxa"/>
            <w:vAlign w:val="center"/>
          </w:tcPr>
          <w:p w14:paraId="153AED2F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1.595g</w:t>
            </w:r>
          </w:p>
        </w:tc>
      </w:tr>
      <w:tr w14:paraId="496CD6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7608E49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</w:t>
            </w:r>
          </w:p>
        </w:tc>
        <w:tc>
          <w:tcPr>
            <w:tcW w:w="2381" w:type="dxa"/>
            <w:vAlign w:val="center"/>
          </w:tcPr>
          <w:p w14:paraId="227567B4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45.770</w:t>
            </w:r>
          </w:p>
        </w:tc>
        <w:tc>
          <w:tcPr>
            <w:tcW w:w="2324" w:type="dxa"/>
            <w:vAlign w:val="center"/>
          </w:tcPr>
          <w:p w14:paraId="213051C5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持续倾斜</w:t>
            </w:r>
          </w:p>
        </w:tc>
        <w:tc>
          <w:tcPr>
            <w:tcW w:w="2693" w:type="dxa"/>
            <w:vAlign w:val="center"/>
          </w:tcPr>
          <w:p w14:paraId="1C8E5ABD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75°</w:t>
            </w:r>
          </w:p>
        </w:tc>
      </w:tr>
      <w:tr w14:paraId="2DDAA8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1F793F2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</w:t>
            </w:r>
          </w:p>
        </w:tc>
        <w:tc>
          <w:tcPr>
            <w:tcW w:w="2381" w:type="dxa"/>
            <w:vAlign w:val="center"/>
          </w:tcPr>
          <w:p w14:paraId="3ED073CA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54.014</w:t>
            </w:r>
          </w:p>
        </w:tc>
        <w:tc>
          <w:tcPr>
            <w:tcW w:w="2324" w:type="dxa"/>
            <w:vAlign w:val="center"/>
          </w:tcPr>
          <w:p w14:paraId="10FD1970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冲击</w:t>
            </w:r>
          </w:p>
        </w:tc>
        <w:tc>
          <w:tcPr>
            <w:tcW w:w="2693" w:type="dxa"/>
            <w:vAlign w:val="center"/>
          </w:tcPr>
          <w:p w14:paraId="604C2A8F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1.856g</w:t>
            </w:r>
          </w:p>
        </w:tc>
      </w:tr>
      <w:tr w14:paraId="0B11D4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50" w:type="dxa"/>
            <w:left w:w="80" w:type="dxa"/>
            <w:bottom w:w="50" w:type="dxa"/>
            <w:right w:w="80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4F466057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9</w:t>
            </w:r>
          </w:p>
        </w:tc>
        <w:tc>
          <w:tcPr>
            <w:tcW w:w="2381" w:type="dxa"/>
            <w:vAlign w:val="center"/>
          </w:tcPr>
          <w:p w14:paraId="74F8AD2D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57.240</w:t>
            </w:r>
          </w:p>
        </w:tc>
        <w:tc>
          <w:tcPr>
            <w:tcW w:w="2324" w:type="dxa"/>
            <w:vAlign w:val="center"/>
          </w:tcPr>
          <w:p w14:paraId="4215EC7D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开箱</w:t>
            </w:r>
          </w:p>
        </w:tc>
        <w:tc>
          <w:tcPr>
            <w:tcW w:w="2693" w:type="dxa"/>
            <w:vAlign w:val="center"/>
          </w:tcPr>
          <w:p w14:paraId="27CDADCF">
            <w:pPr>
              <w:snapToGrid w:val="0"/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开关电平 0</w:t>
            </w:r>
          </w:p>
        </w:tc>
      </w:tr>
    </w:tbl>
    <w:p w14:paraId="3AF92D33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明细共含 5 次冲击、2 次持续倾斜和 2 次开箱，与摘要一致。冲击记录均超过阈值；明细最大值 1.856g 小于摘要的 2.01g，是因为明细保存首次触发值。图 5 为监测中画面，图 6 为结束后摘要，记录阶段不同。</w:t>
      </w:r>
    </w:p>
    <w:p w14:paraId="11115AF0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现有 12 项单元测试全部通过，覆盖回差、持续倾斜、消抖、缓存及快照导出。既有满缓存约 120 s 采样日志接收 463 帧状态，结束时空闲堆内存 4176 字节；其中事件由测试程序构造，不能作为实际运输数据。演示验证了完整流程，长期误报和漏报仍需重复实验评估。</w:t>
      </w:r>
    </w:p>
    <w:p w14:paraId="5EBE7AA0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操作顺序为：接线并连接串口 → 合盖、静置并选择灵敏度 → 开始运输 → 结束并读取记录 → 导出后再断电或开始下一次运输。</w:t>
      </w:r>
    </w:p>
    <w:p w14:paraId="6B18BE16">
      <w:pPr>
        <w:pStyle w:val="2"/>
        <w:keepNext/>
        <w:pageBreakBefore/>
        <w:widowControl/>
        <w:snapToGrid w:val="0"/>
        <w:spacing w:before="16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四、问题及解决方法</w:t>
      </w:r>
    </w:p>
    <w:p w14:paraId="093DB974">
      <w:pPr>
        <w:pStyle w:val="3"/>
        <w:keepNext/>
        <w:pageBreakBefore w:val="0"/>
        <w:widowControl/>
        <w:snapToGrid w:val="0"/>
        <w:spacing w:before="10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4.1 瞬时抖动造成重复记录</w:t>
      </w:r>
    </w:p>
    <w:p w14:paraId="7EDF5FB3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仅判断是否超阈值，会把持续振动重复记录；机械开关切换也会产生抖动。系统为冲击增加约 85% 回差和 500 ms 最小触发间隔，为开关增加 60 ms 稳定确认，将一次异常过程只计为一次事件。</w:t>
      </w:r>
    </w:p>
    <w:p w14:paraId="0479B00B">
      <w:pPr>
        <w:pStyle w:val="3"/>
        <w:keepNext/>
        <w:pageBreakBefore w:val="0"/>
        <w:widowControl/>
        <w:snapToGrid w:val="0"/>
        <w:spacing w:before="10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4.2 动态加速度干扰倾角判断</w:t>
      </w:r>
    </w:p>
    <w:p w14:paraId="5DF9EEA1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快速运动时，平动加速度会干扰重力方向。程序只在约 0.8g～1.2g 时累计倾斜时间，要求倾角达到约 45° 且持续 2 s，回到约 35° 后才允许再次记录。这样可减少短时运动干扰，但不能完全消除动态误差。</w:t>
      </w:r>
    </w:p>
    <w:p w14:paraId="39434A0A">
      <w:pPr>
        <w:pStyle w:val="3"/>
        <w:keepNext/>
        <w:pageBreakBefore w:val="0"/>
        <w:widowControl/>
        <w:snapToGrid w:val="0"/>
        <w:spacing w:before="10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4.3 箱盖开关极性与安装方式不同</w:t>
      </w:r>
    </w:p>
    <w:p w14:paraId="54CC24D0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模块电平与实际合盖含义可能相反，因此设置两步标定，分别确认合盖与开盖电平；两次相同则拒绝完成标定，启运前检查合盖状态。原型用手动开关模拟箱盖，后续应固定模块，使触发位置与真实开合对应。</w:t>
      </w:r>
    </w:p>
    <w:p w14:paraId="6641D9A9">
      <w:pPr>
        <w:pStyle w:val="3"/>
        <w:keepNext/>
        <w:pageBreakBefore w:val="0"/>
        <w:widowControl/>
        <w:snapToGrid w:val="0"/>
        <w:spacing w:before="10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4.4 主控内存与记录留存的限制</w:t>
      </w:r>
    </w:p>
    <w:p w14:paraId="0246249A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micro:bit V1 内存有限，无限增长的事件列表会增加运行压力。系统将程序分层，详情限制为最近 16 条，累计计数独立保存。电脑端通过 CSV 与 JSON 留存，结束后先导出，再断电或重新开始。当前方案满足原型需求，暂不具备掉电恢复能力。</w:t>
      </w:r>
    </w:p>
    <w:p w14:paraId="300BC71E">
      <w:pPr>
        <w:pStyle w:val="3"/>
        <w:keepNext/>
        <w:pageBreakBefore w:val="0"/>
        <w:widowControl/>
        <w:snapToGrid w:val="0"/>
        <w:spacing w:before="10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4.5 实时数据与读取记录交叉</w:t>
      </w:r>
    </w:p>
    <w:p w14:paraId="72A1AA06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串口中的周期状态、实时事件和读取应答可能交叉到达。上位机区分实时帧与读取帧，通过摘要和结束标识组成一次读取事务，并检查编号、数量与序号。检查失败时要求重新读取，避免重复行和不完整快照。</w:t>
      </w:r>
    </w:p>
    <w:p w14:paraId="043E197B">
      <w:pPr>
        <w:pStyle w:val="3"/>
        <w:keepNext/>
        <w:pageBreakBefore w:val="0"/>
        <w:widowControl/>
        <w:snapToGrid w:val="0"/>
        <w:spacing w:before="10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4.6 采样峰值与冲击强度的解释</w:t>
      </w:r>
    </w:p>
    <w:p w14:paraId="35F5729A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极短冲击的峰值可能落在两个采样点之间，强冲击还可能超出量程。系统区分首次触发值与全程最大采样值，并统一使用“采样加速度”描述。后续应结合参考设备，校验更高采样率和适当量程传感器的测量结果。</w:t>
      </w:r>
    </w:p>
    <w:p w14:paraId="2FFBE417">
      <w:pPr>
        <w:pStyle w:val="2"/>
        <w:keepNext/>
        <w:pageBreakBefore/>
        <w:widowControl/>
        <w:snapToGrid w:val="0"/>
        <w:spacing w:before="16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五、设计心得体会</w:t>
      </w:r>
    </w:p>
    <w:p w14:paraId="5F27F376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设计的主要收获，是把单独的传感器读数组织成可理解、可操作、可回看的系统。最初的需求是知道物品是否经历异常，但真正落到实现时，还要明确异常的阈值、持续时间、重复触发条件，以及记录与运输批次之间的关系。只有把这些规则写清楚，计数和导出数据才有实际含义。</w:t>
      </w:r>
    </w:p>
    <w:p w14:paraId="30847609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硬件设计上，板载加速度计减少了外接模块数量，扩展板让开关、电位计和蜂鸣器能够快速组合。接线时需要同时考虑引脚资源与软件复用关系，不能仅凭接口外形判断用途。开始运输前固定安装位置、保持静止并确认合盖，对后续数据解释同样重要。</w:t>
      </w:r>
    </w:p>
    <w:p w14:paraId="007DEBBE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软件设计上，分层结构使核心判断可以脱离真实硬件进行测试。冲击回差、倾斜持续确认和开关消抖分别对应不同类型的信号特征，说明可靠检测不能只靠一个阈值。有限内存也促使设计在功能规模、事件细节和运行稳定性之间作出取舍，保留核心需求比持续增加界面功能更有价值。</w:t>
      </w:r>
    </w:p>
    <w:p w14:paraId="6274E7B2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调试与验证上，单元测试、板端日志和实物演示各有作用。构造输入能够重复检查边界，真实采样能够暴露运行与资源问题，人工演示则能验证交互流程。将测试事件与实际演示记录区分后，可以避免把程序验证结果误写成运输性能结论。对数据来源和适用范围作准确解释，也是工程报告的一部分。</w:t>
      </w:r>
    </w:p>
    <w:p w14:paraId="373CF3F0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最终系统完成了冲击、持续倾斜和开箱检测，能够显示状态、累计计数、回看最近事件并导出记录。一次 69.3 s 的演示中，三类事件和摘要相互对应，说明原型已经形成从采集到留存的完整链路。现阶段仍需改进掉电保存、极短冲击捕获和长期安装可靠性。</w:t>
      </w:r>
    </w:p>
    <w:p w14:paraId="7347AEB6">
      <w:pPr>
        <w:pStyle w:val="3"/>
        <w:keepNext/>
        <w:pageBreakBefore w:val="0"/>
        <w:widowControl/>
        <w:snapToGrid w:val="0"/>
        <w:spacing w:before="100" w:after="140" w:line="30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5.1 后续改进方向</w:t>
      </w:r>
    </w:p>
    <w:p w14:paraId="31C77520">
      <w:pPr>
        <w:keepNext w:val="0"/>
        <w:widowControl/>
        <w:snapToGrid w:val="0"/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第一，增加外部非易失存储和实时时钟，在保留相对时间的同时记录绝对时间，并支持断电后的数据恢复。第二，选用适当量程和采样率的惯性传感器，增加峰值窗口和滤波，结合参考设备评估误差。第三，制作固定支架和保护外壳，将开关与箱盖机构可靠联动。第四，开展多组重复试验，分别统计误报、漏报和长时间运行情况，再决定阈值及应用范围。</w:t>
      </w:r>
    </w:p>
    <w:sectPr>
      <w:footerReference r:id="rId7" w:type="default"/>
      <w:pgSz w:w="11906" w:h="16838"/>
      <w:pgMar w:top="1869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37475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D78F89">
                          <w:pPr>
                            <w:pStyle w:val="8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OqXm5zwAAAAUBAAAPAAAAAAAAAAEAIAAAACIAAABkcnMvZG93bnJldi54bWxQSwECFAAU&#10;AAAACACHTuJA9hiaUcEBAACNAwAADgAAAAAAAAABACAAAAAe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6D78F89">
                    <w:pPr>
                      <w:pStyle w:val="8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C07BB">
    <w:pPr>
      <w:pStyle w:val="9"/>
    </w:pPr>
    <w:r>
      <w:rPr>
        <w:rFonts w:hint="eastAsia"/>
      </w:rPr>
      <w:t>基于 micro:bit 的易碎品运输记录系统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BDC50">
    <w:pPr>
      <w:pStyle w:val="9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AEC"/>
    <w:rsid w:val="000C47DB"/>
    <w:rsid w:val="000D221C"/>
    <w:rsid w:val="001265E0"/>
    <w:rsid w:val="00132100"/>
    <w:rsid w:val="00172A27"/>
    <w:rsid w:val="00185B8D"/>
    <w:rsid w:val="001A1577"/>
    <w:rsid w:val="002653D3"/>
    <w:rsid w:val="002770F4"/>
    <w:rsid w:val="002776D4"/>
    <w:rsid w:val="002C7889"/>
    <w:rsid w:val="002D0312"/>
    <w:rsid w:val="00326E01"/>
    <w:rsid w:val="003452A0"/>
    <w:rsid w:val="003B1E04"/>
    <w:rsid w:val="003D1CBE"/>
    <w:rsid w:val="0045387E"/>
    <w:rsid w:val="005D5958"/>
    <w:rsid w:val="0064104D"/>
    <w:rsid w:val="006B2CEA"/>
    <w:rsid w:val="007A5A80"/>
    <w:rsid w:val="008C2D47"/>
    <w:rsid w:val="008D5521"/>
    <w:rsid w:val="0092235C"/>
    <w:rsid w:val="009378B1"/>
    <w:rsid w:val="009C0DB3"/>
    <w:rsid w:val="00A56656"/>
    <w:rsid w:val="00A81B06"/>
    <w:rsid w:val="00A82125"/>
    <w:rsid w:val="00A87F96"/>
    <w:rsid w:val="00AE1098"/>
    <w:rsid w:val="00AF7765"/>
    <w:rsid w:val="00B02115"/>
    <w:rsid w:val="00B122EB"/>
    <w:rsid w:val="00B14364"/>
    <w:rsid w:val="00B20F55"/>
    <w:rsid w:val="00B63F84"/>
    <w:rsid w:val="00BD06B6"/>
    <w:rsid w:val="00C5760F"/>
    <w:rsid w:val="00CD2165"/>
    <w:rsid w:val="00D05755"/>
    <w:rsid w:val="00D30798"/>
    <w:rsid w:val="00D67377"/>
    <w:rsid w:val="00D809C4"/>
    <w:rsid w:val="00D809F2"/>
    <w:rsid w:val="00DA1EC1"/>
    <w:rsid w:val="00DE45D2"/>
    <w:rsid w:val="00E43483"/>
    <w:rsid w:val="00E445C1"/>
    <w:rsid w:val="00E5360D"/>
    <w:rsid w:val="00EB4AFA"/>
    <w:rsid w:val="00ED1027"/>
    <w:rsid w:val="00F36D00"/>
    <w:rsid w:val="00F448FD"/>
    <w:rsid w:val="00F858E9"/>
    <w:rsid w:val="00F92C99"/>
    <w:rsid w:val="02205277"/>
    <w:rsid w:val="02B26417"/>
    <w:rsid w:val="03C76B1E"/>
    <w:rsid w:val="086776BD"/>
    <w:rsid w:val="08767CDE"/>
    <w:rsid w:val="0A2049F0"/>
    <w:rsid w:val="0B4755FC"/>
    <w:rsid w:val="0BE30C57"/>
    <w:rsid w:val="0F95471E"/>
    <w:rsid w:val="102D28EB"/>
    <w:rsid w:val="10F43F6D"/>
    <w:rsid w:val="11537220"/>
    <w:rsid w:val="13775F6C"/>
    <w:rsid w:val="14810903"/>
    <w:rsid w:val="15A55323"/>
    <w:rsid w:val="19BC393B"/>
    <w:rsid w:val="19D652D5"/>
    <w:rsid w:val="1EE81D6A"/>
    <w:rsid w:val="1F581885"/>
    <w:rsid w:val="21DC4673"/>
    <w:rsid w:val="227E4277"/>
    <w:rsid w:val="245D3F14"/>
    <w:rsid w:val="24B76FB9"/>
    <w:rsid w:val="24C77899"/>
    <w:rsid w:val="27413EB4"/>
    <w:rsid w:val="295248E6"/>
    <w:rsid w:val="29761A7C"/>
    <w:rsid w:val="2A56000C"/>
    <w:rsid w:val="2BD11E61"/>
    <w:rsid w:val="2D1E0041"/>
    <w:rsid w:val="2E0364C7"/>
    <w:rsid w:val="2F585DBB"/>
    <w:rsid w:val="2FAF72C6"/>
    <w:rsid w:val="328111C1"/>
    <w:rsid w:val="32984CC2"/>
    <w:rsid w:val="32B804F1"/>
    <w:rsid w:val="34247961"/>
    <w:rsid w:val="376F2F15"/>
    <w:rsid w:val="385C3D9B"/>
    <w:rsid w:val="386705FE"/>
    <w:rsid w:val="3B4836B0"/>
    <w:rsid w:val="3C185462"/>
    <w:rsid w:val="3C2E6BE5"/>
    <w:rsid w:val="3CA54EFE"/>
    <w:rsid w:val="3D951A4B"/>
    <w:rsid w:val="3F1B6A32"/>
    <w:rsid w:val="3F36124A"/>
    <w:rsid w:val="40CB20CD"/>
    <w:rsid w:val="41F13DF9"/>
    <w:rsid w:val="41FD3ACB"/>
    <w:rsid w:val="438710D8"/>
    <w:rsid w:val="46B02300"/>
    <w:rsid w:val="49042F2E"/>
    <w:rsid w:val="498E5F4B"/>
    <w:rsid w:val="49B72E02"/>
    <w:rsid w:val="4A6E76B9"/>
    <w:rsid w:val="4AE462A6"/>
    <w:rsid w:val="4B760574"/>
    <w:rsid w:val="4B7E2505"/>
    <w:rsid w:val="4F536565"/>
    <w:rsid w:val="51D824C9"/>
    <w:rsid w:val="55023803"/>
    <w:rsid w:val="5511061B"/>
    <w:rsid w:val="55644A0E"/>
    <w:rsid w:val="57065ED4"/>
    <w:rsid w:val="57DD2E4B"/>
    <w:rsid w:val="5C01699B"/>
    <w:rsid w:val="5C6C553E"/>
    <w:rsid w:val="5E23155A"/>
    <w:rsid w:val="600659F7"/>
    <w:rsid w:val="60BB3C85"/>
    <w:rsid w:val="614A0DE7"/>
    <w:rsid w:val="61C32199"/>
    <w:rsid w:val="66E859F2"/>
    <w:rsid w:val="67571C10"/>
    <w:rsid w:val="67607170"/>
    <w:rsid w:val="6774618B"/>
    <w:rsid w:val="6812174F"/>
    <w:rsid w:val="68EF170E"/>
    <w:rsid w:val="699B1702"/>
    <w:rsid w:val="6A166FC8"/>
    <w:rsid w:val="6C964F98"/>
    <w:rsid w:val="6CD70EC3"/>
    <w:rsid w:val="6D6A3392"/>
    <w:rsid w:val="6DCC361E"/>
    <w:rsid w:val="6E134D90"/>
    <w:rsid w:val="6F602896"/>
    <w:rsid w:val="6FF56525"/>
    <w:rsid w:val="71522F9D"/>
    <w:rsid w:val="73E46BF4"/>
    <w:rsid w:val="74516A2B"/>
    <w:rsid w:val="75457FF5"/>
    <w:rsid w:val="78692007"/>
    <w:rsid w:val="78C84310"/>
    <w:rsid w:val="7ADD1AC2"/>
    <w:rsid w:val="7B8F41B5"/>
    <w:rsid w:val="7DE5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after="100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Balloon Text"/>
    <w:basedOn w:val="1"/>
    <w:link w:val="22"/>
    <w:qFormat/>
    <w:uiPriority w:val="0"/>
    <w:rPr>
      <w:sz w:val="18"/>
      <w:szCs w:val="18"/>
    </w:rPr>
  </w:style>
  <w:style w:type="paragraph" w:styleId="8">
    <w:name w:val="footer"/>
    <w:basedOn w:val="1"/>
    <w:link w:val="2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Emphasis"/>
    <w:basedOn w:val="15"/>
    <w:qFormat/>
    <w:uiPriority w:val="0"/>
    <w:rPr>
      <w:i/>
    </w:rPr>
  </w:style>
  <w:style w:type="character" w:styleId="18">
    <w:name w:val="Hyperlink"/>
    <w:unhideWhenUsed/>
    <w:qFormat/>
    <w:uiPriority w:val="99"/>
    <w:rPr>
      <w:color w:val="0563C1"/>
      <w:u w:val="single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paragraph" w:customStyle="1" w:styleId="20">
    <w:name w:val="p0"/>
    <w:basedOn w:val="1"/>
    <w:qFormat/>
    <w:uiPriority w:val="0"/>
    <w:pPr>
      <w:widowControl/>
    </w:pPr>
    <w:rPr>
      <w:kern w:val="0"/>
    </w:rPr>
  </w:style>
  <w:style w:type="character" w:customStyle="1" w:styleId="21">
    <w:name w:val="页眉 字符"/>
    <w:link w:val="9"/>
    <w:qFormat/>
    <w:uiPriority w:val="0"/>
    <w:rPr>
      <w:rFonts w:eastAsia="仿宋_GB2312"/>
      <w:kern w:val="2"/>
      <w:sz w:val="18"/>
      <w:szCs w:val="18"/>
    </w:rPr>
  </w:style>
  <w:style w:type="character" w:customStyle="1" w:styleId="22">
    <w:name w:val="批注框文本 字符"/>
    <w:link w:val="7"/>
    <w:qFormat/>
    <w:uiPriority w:val="0"/>
    <w:rPr>
      <w:rFonts w:eastAsia="仿宋_GB2312"/>
      <w:kern w:val="2"/>
      <w:sz w:val="18"/>
      <w:szCs w:val="18"/>
    </w:rPr>
  </w:style>
  <w:style w:type="character" w:customStyle="1" w:styleId="23">
    <w:name w:val="页脚 字符"/>
    <w:link w:val="8"/>
    <w:qFormat/>
    <w:uiPriority w:val="0"/>
    <w:rPr>
      <w:rFonts w:eastAsia="仿宋_GB2312"/>
      <w:kern w:val="2"/>
      <w:sz w:val="18"/>
      <w:szCs w:val="18"/>
    </w:rPr>
  </w:style>
  <w:style w:type="paragraph" w:customStyle="1" w:styleId="2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7">
    <w:name w:val="Title"/>
    <w:basedOn w:val="1"/>
    <w:uiPriority w:val="0"/>
    <w:rPr>
      <w:rFonts w:ascii="黑体" w:hAnsi="黑体"/>
      <w:b/>
      <w:color w:val="000000"/>
      <w:sz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4362</Words>
  <Characters>5780</Characters>
  <Lines>16</Lines>
  <Paragraphs>4</Paragraphs>
  <TotalTime>9</TotalTime>
  <ScaleCrop>false</ScaleCrop>
  <LinksUpToDate>false</LinksUpToDate>
  <CharactersWithSpaces>6441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2024-09-19T05:42:00Z</dcterms:created>
  <dc:creator>零</dc:creator>
  <cp:lastModifiedBy>杨泽</cp:lastModifiedBy>
  <cp:lastPrinted>2019-02-26T03:16:00Z</cp:lastPrinted>
  <dcterms:modified xsi:type="dcterms:W3CDTF">2026-10-17T06:01:39Z</dcterms:modified>
  <dc:title>课程设计（大型作业）任务书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AFC96E8D52374FEA901030E0120D2800_13</vt:lpwstr>
  </property>
  <property fmtid="{D5CDD505-2E9C-101B-9397-08002B2CF9AE}" pid="4" name="KSOTemplateDocerSaveRecord">
    <vt:lpwstr>eyJoZGlkIjoiNjNmMjlhMGMwMTQwNzQzMzU4NGU4Y2E0NTliOWY0NjYiLCJ1c2VySWQiOiIxODg3ODE4ODk5In0=</vt:lpwstr>
  </property>
</Properties>
</file>