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#5 </w:t>
      </w:r>
    </w:p>
    <w:p w:rsidR="00000000" w:rsidDel="00000000" w:rsidP="00000000" w:rsidRDefault="00000000" w:rsidRPr="00000000" w14:paraId="00000002">
      <w:pPr>
        <w:pageBreakBefore w:val="0"/>
        <w:rPr/>
      </w:pPr>
      <w:r w:rsidDel="00000000" w:rsidR="00000000" w:rsidRPr="00000000">
        <w:rPr>
          <w:rtl w:val="0"/>
        </w:rPr>
        <w:t xml:space="preserve">If the tasks are running locally, the only relationship is between Spark Driver and Worker Nodes: Spark Driver directly assigns tasks to Worker Nodes.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If the tasks are running on a cluster, Spark Driver schedules tasks and distributes tasks to Spark Driver, Cluster Manager distributes resources to Worker Nodes, Worker Nodes receive resources from Cluster Manager, process data and report the computation status to Spark Driver.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