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B041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20"/>
        </w:rPr>
      </w:pPr>
      <w:r>
        <w:rPr>
          <w:rFonts w:hint="eastAsia" w:ascii="黑体" w:hAnsi="黑体" w:eastAsia="黑体" w:cs="黑体"/>
          <w:sz w:val="32"/>
          <w:szCs w:val="20"/>
        </w:rPr>
        <w:t>下一代5G+北斗时空网核心技术研究及能力攻关</w:t>
      </w:r>
    </w:p>
    <w:p w14:paraId="2DCFBC79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在5G+北斗项目中，5G的主要作用是否在于“增强”？是否存在宏观指标约束以衡量是否达标？我注意到目前建成的节点数量约为4400个，这个数量是否达到了总体地面增强的要求？这一规模在整体水平构成上意味着什么？特别是在静态和动态指标方面，既然主要聚焦于增强领域，那么大量未进行增强的区域是如何考量的？</w:t>
      </w:r>
    </w:p>
    <w:p w14:paraId="604666E7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项目组回答：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首先明确定位概念：普通卫星定位实现的是全域覆盖，精度大约在10米左右。而所谓的“定位增强”，是指通过5G地面增强系统，打造全国范围内的高精度定位能力。关于覆盖目标，我们的设计初衷是实现“全域覆盖”，目前这一目标已经达成。具体而言，在全国人口100%覆盖的区域内，均可以达到高精度定位标准。</w:t>
      </w:r>
    </w:p>
    <w:p w14:paraId="1D1CC27D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这种覆盖是指在人口密集区，还是指所有部署了5G基站的区域都支持增强？</w:t>
      </w:r>
    </w:p>
    <w:p w14:paraId="6DA85945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项目组回答：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目前高精度定位的应用场景主要集中在自动驾驶、智能驾驶和无人机等领域。5G+北斗地面增强系统完全基于5G基站建设。鉴于中国5G网络已实现全力覆盖，因此增强系统的底层基础是完备的。</w:t>
      </w:r>
    </w:p>
    <w:p w14:paraId="68A790DC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如果从地面覆盖角度看，目前的缺口主要存在于无人区及部分偏远商务区。对于中国移动而言，5G基站总数高达数百万个，而本项目仅涉及4400个节点。这二者之间的关系如何？据我所知，5G基站的覆盖半径通常在300至500米左右，而增强系统是一个“只收不发”的系统，主要用于获取绝对位置信息。</w:t>
      </w:r>
    </w:p>
    <w:p w14:paraId="36540E3E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项目组回答：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这里存在一个覆盖尺度的差异。普通5G基站的覆盖半径较小，但北斗地基增强系统的单站有效覆盖距离可达20至30公里，尺度较大。从理论计算来看，若按六边形蜂窝覆盖模型推算，4400台增强基站足以实现全国范围的有效全覆盖。具体换算逻辑如下：若普通基站覆盖半径为1公里（参考值），而增强站覆盖半径为20-30公里，两者半径相差约20-30倍；由于面积与半径的平方成正比，单站覆盖面积相差可达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几百倍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。因此，4400个增强站在数量级上与数百万个5G通信基站是相匹配的，能够满足全域覆盖需求。该方案已通过国家自然资源部的相关验证，基站数量确已够用。</w:t>
      </w:r>
    </w:p>
    <w:p w14:paraId="4A66478F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关于海外布局，我了解到在欧洲、日韩等地的推进存在困难。北斗系统在初级覆盖阶段，在欧洲等地的覆盖率确实面临时间和空间上的压力。在当前外部环境日益复杂、许多项目难以推进的背景下，你们计划将海外站点从100个缩减至30个，该如何解决这一实际压力？</w:t>
      </w:r>
    </w:p>
    <w:p w14:paraId="19BAE7C0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项目组回答：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首先，北斗实现全球覆盖是国家层面的战略部署，由国家领导人亲自安排，相关机构一直在持续推进。虽然面临挑战，但普通技术的全球覆盖能力在理论上是可行的。目前的经济发展模式基于和平方式与商业逻辑，中国移动无法像国内一样在海外大规模新建电站或基础设施，相关数据获取需依赖商业合作或既有战略数据。</w:t>
      </w:r>
    </w:p>
    <w:p w14:paraId="1666D836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考虑到全球现有约130个监测站具备全球覆盖能力，但涉及当地国家政策时仍存挑战。因此，我们的思路是尽可能通过“算法提升”来弥补硬件设施的不足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？</w:t>
      </w:r>
    </w:p>
    <w:p w14:paraId="77D8DF87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项目组回答：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们正采取“软硬结合”的策略应对全球覆盖挑战：第一，利用全球此时此刻所有卫星的在轨数据，结合历史数据存储与推演技术，通过软件能力的提升来优化定位效果；第二，即使物理站点数量调整，我们通过算法优化，依然能在关键区域达到新的技术指标；第三，将3D高精度服务内容重点部署在“一带一路”沿线及可控性较强的区域，从而提升整个系统服务的互动性和可用性。针对国内企业出海（如自动驾驶、无人机业务）的需求，由于国外缺乏类似我国的强大地面增强系统，必须依赖星基增强和新机定位方法。我们将依托现有的关键站点支持，确保宏观服务的恢复与稳定，计划在2026年前重点解决这一海外服务连续性问题。</w:t>
      </w:r>
    </w:p>
    <w:p w14:paraId="2842EE2B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关于北斗短报文应用，普通老百姓几乎感觉不到其作用。尽管业内常强调这是北斗的优势，但始终未能充分发挥。除了应急通信和海上应用外，短报文技术目前能达到什么程度？有哪些具体的应用场景？</w:t>
      </w:r>
    </w:p>
    <w:p w14:paraId="3286F380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项目组回答：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向院士汇报一下进展：2019年，由中国移动联合相关单位组成的联合体，成功中标下一代北斗三号民用系统项目。该项目核心目标是将北斗短报文能力推广至大众智能手机。此前，短报文主要应用于行业用户，规模仅二三十万台，且受制于专用终端体积大、功耗高等问题（如需携带大型卫星电话）。通过2019年的国家战略研发任务，我们成功攻克了芯片小型化难题。目前，包括华为、小米、vivo等主流品牌的最新款手机均已原生支持北斗短报文功能。普通商用手机无需外接设备，即可通过内部集成的芯片快速对接卫星系统。在去年北方七省洪涝灾害中，传统卫星电话信道拥堵，而北斗短报文发挥了关键作用。目前，河北省、北京市等应急管理部门已向我方采购相关服务，用于应急指挥调度。</w:t>
      </w:r>
    </w:p>
    <w:p w14:paraId="781C6B40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关于您提到的Mate60等机型，虽然华为将北斗技术集成进去，但目前似乎主要面向特定群体，普通用户使用率极低，几乎感觉不到存在感。</w:t>
      </w:r>
    </w:p>
    <w:p w14:paraId="7BC0282D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项目组回答：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去年，中国移动正式发布了北斗短报文业务的商用服务，用户可通过10086直接订购。目前现网支持该功能的手机终端已达3000万部，涵盖华为、小米等品牌共30多款机型。已开通服务的用户数约为200万。相较于北斗二代时期行业仅有的20万用户，这是一个巨大的跨越。早期系统设计时，假设用户处于“无大网”极端环境下使用，导致在有大网环境下用户从未触发使用该功能，造成“形同虚设”的局面。我们有信心通过优化体验、加强宣传，让更多人知晓并使用该功能。项目设定了明确的目标：到2025年，不仅要达成团体成绩，更要显著提升北斗短报文的社会影响力和实际利用率，彻底改变“有功能无感知”的现状。</w:t>
      </w:r>
    </w:p>
    <w:p w14:paraId="2CF98A99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何良生：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这个奖项与你们项目的关联度有多大？其成果影响力与2025年目标的匹配度如何？另外，关于标准制定，文中显示牵头单位是杭州，但我看到你们2025年的目标产品中提到的是“正在征求意见”。当时的设计目标究竟是什么？实际上，2025年的标准协调工作已经展开并与我们相关。你提到参与了25项行业标准的制定，数量很多，但在具体的考核指标中却体现不足，这是第一个问题。第二个问题是，关于2025年或2026年的年度指标，特别是三年度的指标设定显得不够成熟，我不太清楚其中的逻辑。通常我们在做规划时，不会针对完全未开展的工作设定指标，而是基于已有的基础进行量化分解，而不是在第三年才去“走读”或临时拼凑。请你解释一下。我翻阅了材料，发现很多关键指标缺失。虽然某些指标可能存在，但需要提升或明确。如果是这样，我认为可以从第三个角度来审视：即2026年的指标与上一年度指标之间的衔接关系。</w:t>
      </w:r>
    </w:p>
    <w:p w14:paraId="75220DEF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项目组回答：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关于您提出的指标设定问题，我们确实有具体的考量依据：首先，关于第一个指标（高中低轨卫星协同）。显而易见，上一年度低轨卫星并不具备实际运行条件，因为我们目前尚未获取实际的在轨数据，很多工作仍停留在法规研究和规则制定层面。这并非移动公司或特定合作伙伴的问题，而是技术平台发展的阶段性特征。针对北斗下一代低轨卫星的布局，目前处于下一代规划的考虑阶段。当前在轨的主要是中高轨卫星，低轨卫星尚未形成主题规模。因此，在下一代演进过程中，我们必须提前考虑低轨带来的技术压力和挑战。我们现在的策略是从中高轨起步，逐步纳入低轨。所以，这个指标涵盖了三个领域，共计八项细分指标。这是我们首次将低轨卫星信号纳入考核体系，因此我们认为上一年度的基准主要侧重于中高轨，而本年度则实现了维度的扩展。其次，关于第二个指标（天基短报文/海外基站建设）。这主要涉及新基建站点的布局。在原有的110个海外建站规划中，我们重新评估了功能需求。考虑到极端情况下的覆盖效率以及成本因素，我们计划优化基站数量，从原来的110个缩减至30个，甚至进一步压缩到15或20个具有战略意义的节点。从这个角度考虑，上一年度的指标如果设定为110个，那是基于当时的全量规划；而本年度的调整是基于实际服务需求和市场反馈做出的优化。目前我们一直在提供海外市场服务，这一点在上市公司披露中也有所体现，本次指标调整是为了更明确地反映这一战略聚焦。最后，关于第三个指标（干扰监测与芯片安全）。过去，卫星导航的安全问题并未被置于极高优先级，因为传统导航更多关注可用性。但随着国际形势变化及导航失灵事件的警示，国家部委已开始布局更高性价比的干扰监测与预警系统。传统的观测手段依赖硬件（如专用天线和接收机），而我们现在的创新在于利用普通终端侧的能力。通过向终端下发高精度定位数据，结合其历史轨迹和当前位置信息，利用算法推理来判断是否发生了干扰事件。这是一种行业尚未大规模应用的新方法。以前主要依靠专用硬件，现在我们将能力下沉到终端。因此，我们在设定上一年度指标时，主要基于这三个方面的考量：不可能穷尽所有发展细节，而是选取了对行业影响最大、最关键的三个方向。基于这些原则，我们制定了相应的指标体系。</w:t>
      </w:r>
    </w:p>
    <w:p w14:paraId="624F23B0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何良生：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具体到2025年的测试环境，是否意味着要进入恶劣环境下的短报文测试？你提到的地址是指民用遮挡环境，还是指急性干扰场景？我们知道干扰测试在急性情况下通常有专项任务进行研究，是否包含在你们的项目范围内？</w:t>
      </w:r>
    </w:p>
    <w:p w14:paraId="07F9D496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项目组回答：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关于极限场景下的干扰测试，确实有相关单位在开展专项任务研究，这部分内容不一定完全包含在本项目的核心考核指标中，但我们支持并配合相关单位进行此类评估。您提到的指标完成情况，可能因具体测试条件的定义不同而存在差异。例如，极限场景下的终端抗干扰能力研究，虽然与我们同源技术相通，可以沟通协作，但不一定直接作为本项目面向大众终端交付的硬性指标。因为我们的项目主要面向提供通用终端服务，而在极限场景中，对终端的条件要求往往比民用通用场景更为严苛，这部分研究更多是作为技术储备或专项支撑存在的。</w:t>
      </w:r>
    </w:p>
    <w:p w14:paraId="14B8C94B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田辉：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很好，我学习一下。刚才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院士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也问到了关于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具址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的问题。包括在过度区域、室内、地下等卫星信号无法覆盖的场景下，基于统计的定位技术是否也应该纳入本项目的相关指标？目前来看，这部分内容与5G的结合似乎还不够紧密，我们政府层面非常关注这一点。</w:t>
      </w:r>
    </w:p>
    <w:p w14:paraId="1ECEA489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项目组回答：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关于5G与北斗的融合定位，其实我们从2019年就开始布局，并在2020年进行了多个价格的试点考虑。当时我们将这一阶段定义为“较长”周期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。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在那个阶段，我们主要利用现有的传感报告作为正常的业务通道，并从中国移动约400万至100万的基站中筛选出最优站点作为基准站，负责建设、运维、运营及供电保障。进入2025年这一阶段，我们确实引入了5G指纹库技术。此前，中国移动及相关单位已开展过地址维护工作，这恰好可以应用于弱覆盖区域的定位创新。虽然目前这只是一个小切入口，但我们看到，随着5G技术的逐步介入，室外定位精度已提升了20%，主要通过覆盖判断来缩小估算区域与真实位置之间的差距。专家提到的下一代5G增强确实是我们的第二阶段目标，即实现5G与北斗的深度融合。这部分内容之所以未完全体现在当前材料中，是因为在项目立项时，相关任务尚未明确下达。现在我们正在深入研究面向室内的定位问题。这不仅是技术问题，更是产业机遇。过去大家认为依靠单一卫星导航，或卫星与惯导融合就足够了，但现在业界对精益求精的追求热度很高。利用5G进行原生性的多元融合定位，至少在原有基础上多了一个维度，总归是有益的。关键在于如何平衡5G本身的精度提升与其带来的定位可信度及负载问题。我们在室内场景中看到了巨大的价值需求，虽然在成本上还需进一步论证，但这确实是未来的研究方向。</w:t>
      </w:r>
    </w:p>
    <w:p w14:paraId="0A63C0A3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徐胜怀：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我关注一下预算结构。目前人工成本占比过高，达到60多万，而成本投入结构比较单一，效益测算似乎存在虚高的情况。</w:t>
      </w:r>
    </w:p>
    <w:p w14:paraId="5B7DCE4A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项目组回答：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关于人工成本，需要说明的是，这里的费用不仅包含基本的工资和奖金，还涵盖了公司层面的专项奖励等其他支出。当然，徐老师提出的意见非常中肯，我们会认真听取并作为参考。感谢专家的指导。</w:t>
      </w:r>
    </w:p>
    <w:p w14:paraId="0C874275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李豫蓉：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也想提一个问题。作为相关部门，我们非常关心这些技术如何在实际项目中落地并支持我们的工作。我有两个维度的建议：第一，关于海外布局。珠海等地的海外需求量非常大。刚才提到，如果在海外自建基站受到当地政策影响，是否有其他合作模式？例如，千寻位置是否与某些事业部或高校有合作？我们希望能探索通过独立品牌或在本地寻找合作伙伴的方式，获取当地资质，从而加强海外基站的建设。虽然从技术角度看，即使基站数量从110个减少到30个，仍能保持经验证的技术指标，但从实际业务需求出发，我们希望能进一步加快海外合作或自建站点的步伐。第二，关于国内特殊场景的应用。项目报告中提到了西藏的保密项目，我们在一期工程中取得了很好的抢位优势，技术指标甚至优于预期。但二期工程即将启动，其技术挑战更大，主要面临隧道场景、高海拔垂直分布的城市峡谷等复杂环境，这与以往在重庆、江西做的场景有很大不同，工程的连贯性要求更高。按照董事长昨天提出的“创新要在工程现场做总结，科创项目要立在生产地头上”的要求，我们建议在2026年的研发目标中，将类似西藏项目这样的关键技术指标和挑战纳入重大研发项目目标。这样能确保科研成果真正转化并服务到一线。</w:t>
      </w:r>
    </w:p>
    <w:p w14:paraId="6DC3F3B1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童恩：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提两个建议。这个项目去年也评审过，首先关于研究范围的界定。当时专家团队提出的意见是：需要明确北斗与中国移动在整个产业链中的定位。你们画的这张图似乎涵盖了所有环节，但必须清楚我们在产业链中究竟处于什么位置，哪些是我们要研究的，边界在哪里。剩下的部分应由产业链上下游的其他主体去承担。其次，关于项目周期。这个项目从2021年持续到2027年，跨度长达7年，且似乎还要继续投入。我认为在管理上是否应该进行调整？长期持续投入而不明确阶段性产出或退出机制，可能不太合理。</w:t>
      </w:r>
    </w:p>
    <w:p w14:paraId="6FC2335D">
      <w:pPr>
        <w:ind w:firstLine="420" w:firstLineChars="0"/>
        <w:rPr>
          <w:rFonts w:hint="eastAsia" w:ascii="黑体" w:hAnsi="黑体" w:eastAsia="黑体" w:cs="黑体"/>
          <w:b/>
          <w:sz w:val="32"/>
          <w:szCs w:val="20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刘佳：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来回应一下刚才院士和各位专家关心的问题。首先，关于北斗短报文对ToC（大众消费者）市场的吸引力。很多人认为用户更倾向于使用天通卫星电话，但实际上，军方分配给运营商的天通卫星电话容量非常有限，并发用户数大概只有5000户左右。一旦发生突发应急场景，这个容量远远不够。因此，北斗短报文凭借其独特的容量优势和普及性，具有不可替代的特殊地位。其次，关于地面覆盖的误解。很多人认为运营商建了几百万个基站，地面覆盖就完美了。实际上，我们对外发布的“100%覆盖”是指人口覆盖率，而非地域覆盖率。从地域覆盖数据来看，仍有大量无人区没有信号。然而，随着驴友</w:t>
      </w: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  <w:highlight w:val="none"/>
        </w:rPr>
        <w:t>、自驾爱好者以及无人机应用的增多，越来越多的活动延伸到了这些无人区域。因此，针对这些区域的救援和定位服务，普通老百姓的关注度越来越高，这也是为什么我们开通的北斗短报文用户数增长较快的原因。最后，关于项目的属性。这个项目确实比较特殊，它兼具两部分属性：一部分是面向前沿技术的代际突破，另一部分是在现有技术基础上的产品打磨和市场适配。集团出资支持的重点在于“代际提升”，即那些如果由上研院自行承担，可能需要三五年都无法盈利的前沿探索。而那些理论上在5年内就能返回市场产生收益的产品化工作，严格来说不属于本项目的核心边界，应更多由市场化机制推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BF10F6"/>
    <w:rsid w:val="0D9A50E8"/>
    <w:rsid w:val="17AE59A3"/>
    <w:rsid w:val="181E3DA1"/>
    <w:rsid w:val="26290F07"/>
    <w:rsid w:val="35B85D6B"/>
    <w:rsid w:val="415A3663"/>
    <w:rsid w:val="4FBF10F6"/>
    <w:rsid w:val="5AA41911"/>
    <w:rsid w:val="698C6E3A"/>
    <w:rsid w:val="76D73B4A"/>
    <w:rsid w:val="7B15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5997</Words>
  <Characters>6173</Characters>
  <Lines>0</Lines>
  <Paragraphs>0</Paragraphs>
  <TotalTime>18</TotalTime>
  <ScaleCrop>false</ScaleCrop>
  <LinksUpToDate>false</LinksUpToDate>
  <CharactersWithSpaces>6173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2026-03-10T01:45:00Z</dcterms:created>
  <dc:creator>Emma_恒</dc:creator>
  <cp:lastModifiedBy>Emma_恒</cp:lastModifiedBy>
  <dcterms:modified xsi:type="dcterms:W3CDTF">2026-03-10T08:44:53Z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F793A015E75D4DEAB5E0EAB547B239C1_13</vt:lpwstr>
  </property>
  <property fmtid="{D5CDD505-2E9C-101B-9397-08002B2CF9AE}" pid="4" name="KSOTemplateDocerSaveRecord">
    <vt:lpwstr>eyJoZGlkIjoiYjJjOTQxYzhjODMyMDAzZmE0MDJkMWFkNmJlNDkwYTUiLCJ1c2VySWQiOiI1NjQ4Mjc1MjIifQ==</vt:lpwstr>
  </property>
</Properties>
</file>