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 la</w:t>
      </w:r>
      <w:r>
        <w:t xml:space="preserve"> </w:t>
      </w:r>
      <w:r>
        <w:t xml:space="preserve">situation inverse de celle que décrit mon mémoire de mi-parcours, où la règle de gestion,</w:t>
      </w:r>
      <w:r>
        <w:t xml:space="preserve"> </w:t>
      </w:r>
      <w:r>
        <w:t xml:space="preserve">ne pouvant être écrite nulle part, devait être recalculée à chaque génération du 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2.3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 de l’ordre de 0,30 à 0,34 en validation 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Repricer le stock suppose d’abord de savoir à quel prix un lot devrait se vendre, ce</w:t>
      </w:r>
      <w:r>
        <w:t xml:space="preserve"> </w:t>
      </w:r>
      <w:r>
        <w:t xml:space="preserve">qu’aucune grille commerciale ne dit. Le modèle que j’ai construit pour répondre à cette</w:t>
      </w:r>
      <w:r>
        <w:t xml:space="preserve"> </w:t>
      </w:r>
      <w:r>
        <w:t xml:space="preserve">question est volontairement le plus simple 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constituant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deux recommandations de ce chapitre, historiser les exports mensuels et fiabiliser la</w:t>
      </w:r>
      <w:r>
        <w:t xml:space="preserve"> </w:t>
      </w:r>
      <w:r>
        <w:t xml:space="preserve">saisie des motifs de désistement, sont exactement de la même nature que le travail décrit</w:t>
      </w:r>
      <w:r>
        <w:t xml:space="preserve"> </w:t>
      </w:r>
      <w:r>
        <w:t xml:space="preserve">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destinée à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Le métier de gestionnaire d’information, tel que je l’ai pratiqué cette année,</w:t>
      </w:r>
      <w:r>
        <w:t xml:space="preserve"> </w:t>
      </w:r>
      <w:r>
        <w:t xml:space="preserve">consiste largement à prendre ces décisions-là, à les écrire, et à les rendre vérifiables</w:t>
      </w:r>
      <w:r>
        <w:t xml:space="preserve"> </w:t>
      </w:r>
      <w:r>
        <w:t xml:space="preserve">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2026-08-18T07:32:49Z</dcterms:created>
  <dcterms:modified xsi:type="dcterms:W3CDTF">2026-08-18T07:32:49Z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