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  <Override PartName="/word/media/rId3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migration</w:t>
      </w:r>
      <w:r>
        <w:t xml:space="preserve"> </w:t>
      </w:r>
      <w:r>
        <w:t xml:space="preserve">des</w:t>
      </w:r>
      <w:r>
        <w:t xml:space="preserve"> </w:t>
      </w:r>
      <w:r>
        <w:t xml:space="preserve">tiers</w:t>
      </w:r>
      <w:r>
        <w:t xml:space="preserve"> </w:t>
      </w:r>
      <w:r>
        <w:t xml:space="preserve">vers</w:t>
      </w:r>
      <w:r>
        <w:t xml:space="preserve"> </w:t>
      </w:r>
      <w:r>
        <w:t xml:space="preserve">SPO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50" w:name="la-migration-des-tiers-vers-spo"/>
    <w:p>
      <w:pPr>
        <w:pStyle w:val="Heading1"/>
      </w:pPr>
      <w:r>
        <w:t xml:space="preserve">1 La migration des tiers vers SPO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Contexte et enjeux de la reprise des tiers</w:t>
      </w:r>
    </w:p>
    <w:p>
      <w:pPr>
        <w:numPr>
          <w:ilvl w:val="1"/>
          <w:numId w:val="1002"/>
        </w:numPr>
        <w:pStyle w:val="Compact"/>
      </w:pPr>
      <w:r>
        <w:t xml:space="preserve">1.1.1 Du CRM Vadimm à l’ERP SPO : le périmètre des données clients</w:t>
      </w:r>
    </w:p>
    <w:p>
      <w:pPr>
        <w:numPr>
          <w:ilvl w:val="1"/>
          <w:numId w:val="1002"/>
        </w:numPr>
        <w:pStyle w:val="Compact"/>
      </w:pPr>
      <w:r>
        <w:t xml:space="preserve">1.1.2 L’enjeu central : créer sans dupliquer</w:t>
      </w:r>
    </w:p>
    <w:p>
      <w:pPr>
        <w:numPr>
          <w:ilvl w:val="0"/>
          <w:numId w:val="1001"/>
        </w:numPr>
        <w:pStyle w:val="Compact"/>
      </w:pPr>
      <w:r>
        <w:t xml:space="preserve">1.2 Conception du fichier de travail : une chaîne de traitement pilotée par formules</w:t>
      </w:r>
    </w:p>
    <w:p>
      <w:pPr>
        <w:numPr>
          <w:ilvl w:val="1"/>
          <w:numId w:val="1003"/>
        </w:numPr>
        <w:pStyle w:val="Compact"/>
      </w:pPr>
      <w:r>
        <w:t xml:space="preserve">1.2.1 Une architecture en trois temps : sources, feuille pivot, feuilles de sortie</w:t>
      </w:r>
    </w:p>
    <w:p>
      <w:pPr>
        <w:numPr>
          <w:ilvl w:val="1"/>
          <w:numId w:val="1003"/>
        </w:numPr>
        <w:pStyle w:val="Compact"/>
      </w:pPr>
      <w:r>
        <w:t xml:space="preserve">1.2.2 Le modèle de données des tiers dans SPO : couples, personnes physiques, personnes morales</w:t>
      </w:r>
    </w:p>
    <w:p>
      <w:pPr>
        <w:numPr>
          <w:ilvl w:val="0"/>
          <w:numId w:val="1001"/>
        </w:numPr>
        <w:pStyle w:val="Compact"/>
      </w:pPr>
      <w:r>
        <w:t xml:space="preserve">1.3 Les trois mécanismes algorithmiques</w:t>
      </w:r>
    </w:p>
    <w:p>
      <w:pPr>
        <w:numPr>
          <w:ilvl w:val="1"/>
          <w:numId w:val="1004"/>
        </w:numPr>
        <w:pStyle w:val="Compact"/>
      </w:pPr>
      <w:r>
        <w:t xml:space="preserve">1.3.1 La déduplication par clés d’unicité différenciées selon la nature du tiers</w:t>
      </w:r>
    </w:p>
    <w:p>
      <w:pPr>
        <w:numPr>
          <w:ilvl w:val="1"/>
          <w:numId w:val="1004"/>
        </w:numPr>
        <w:pStyle w:val="Compact"/>
      </w:pPr>
      <w:r>
        <w:t xml:space="preserve">1.3.2 L’exclusion des tiers déjà présents dans SPO</w:t>
      </w:r>
    </w:p>
    <w:p>
      <w:pPr>
        <w:numPr>
          <w:ilvl w:val="1"/>
          <w:numId w:val="1004"/>
        </w:numPr>
        <w:pStyle w:val="Compact"/>
      </w:pPr>
      <w:r>
        <w:t xml:space="preserve">1.3.3 La propagation vers les feuilles de sortie par numérotation séquentielle</w:t>
      </w:r>
    </w:p>
    <w:p>
      <w:pPr>
        <w:numPr>
          <w:ilvl w:val="0"/>
          <w:numId w:val="1001"/>
        </w:numPr>
        <w:pStyle w:val="Compact"/>
      </w:pPr>
      <w:r>
        <w:t xml:space="preserve">1.4 De la préparation à l’injection : procédure et contraintes techniques</w:t>
      </w:r>
    </w:p>
    <w:p>
      <w:pPr>
        <w:numPr>
          <w:ilvl w:val="1"/>
          <w:numId w:val="1005"/>
        </w:numPr>
        <w:pStyle w:val="Compact"/>
      </w:pPr>
      <w:r>
        <w:t xml:space="preserve">1.4.1 Génération et normalisation des fichiers d’import</w:t>
      </w:r>
    </w:p>
    <w:p>
      <w:pPr>
        <w:numPr>
          <w:ilvl w:val="1"/>
          <w:numId w:val="1005"/>
        </w:numPr>
        <w:pStyle w:val="Compact"/>
      </w:pPr>
      <w:r>
        <w:t xml:space="preserve">1.4.2 Le contournement par API : 872 requêtes PATCH pour les coordonnées des couples</w:t>
      </w:r>
    </w:p>
    <w:p>
      <w:pPr>
        <w:numPr>
          <w:ilvl w:val="0"/>
          <w:numId w:val="1001"/>
        </w:numPr>
        <w:pStyle w:val="Compact"/>
      </w:pPr>
      <w:r>
        <w:t xml:space="preserve">1.5 Traitement des cas particuliers et arbitrages</w:t>
      </w:r>
    </w:p>
    <w:p>
      <w:pPr>
        <w:numPr>
          <w:ilvl w:val="0"/>
          <w:numId w:val="1001"/>
        </w:numPr>
        <w:pStyle w:val="Compact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</w:t>
      </w:r>
      <w:r>
        <w:t xml:space="preserve"> </w:t>
      </w:r>
      <w:r>
        <w:t xml:space="preserve">notre système historique vers le nouvel ERP du groupe, SPO. Cette mission prolonge</w:t>
      </w:r>
      <w:r>
        <w:t xml:space="preserve"> </w:t>
      </w:r>
      <w:r>
        <w:t xml:space="preserve">directement le chantier de migration exposé dans mon mémoire de mi-parcours, mais elle en</w:t>
      </w:r>
      <w:r>
        <w:t xml:space="preserve"> </w:t>
      </w:r>
      <w:r>
        <w:t xml:space="preserve">change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</w:t>
      </w:r>
      <w:r>
        <w:t xml:space="preserve"> </w:t>
      </w:r>
      <w:r>
        <w:t xml:space="preserve">et 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22" w:name="Xe361138e07d16e5763359e117cee853978abd72"/>
    <w:p>
      <w:pPr>
        <w:pStyle w:val="Heading2"/>
      </w:pPr>
      <w:r>
        <w:t xml:space="preserve">1.1 Contexte et enjeux de la reprise des tiers</w:t>
      </w:r>
    </w:p>
    <w:bookmarkStart w:id="20" w:name="X51dd8a6350dcc959e6f14a0876a7e4c29aa0282"/>
    <w:p>
      <w:pPr>
        <w:pStyle w:val="Heading3"/>
      </w:pPr>
      <w:r>
        <w:t xml:space="preserve">1.1.1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dans mon mémoire de</w:t>
      </w:r>
      <w:r>
        <w:t xml:space="preserve"> </w:t>
      </w:r>
      <w:r>
        <w:t xml:space="preserve">mi-parcours, s’est fait par lots successifs. Après la création des opérations</w:t>
      </w:r>
      <w:r>
        <w:t xml:space="preserve"> </w:t>
      </w:r>
      <w:r>
        <w:t xml:space="preserve">immobilières, de leurs tranches et de leurs budgets, il restait à reprendre les données</w:t>
      </w:r>
      <w:r>
        <w:t xml:space="preserve"> </w:t>
      </w:r>
      <w:r>
        <w:t xml:space="preserve">commerciales, et en premier lieu les clients. Dans SPO, ces clients sont désignés par le</w:t>
      </w:r>
      <w:r>
        <w:t xml:space="preserve"> </w:t>
      </w:r>
      <w:r>
        <w:t xml:space="preserve">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 acquéreur, une</w:t>
      </w:r>
      <w:r>
        <w:t xml:space="preserve"> </w:t>
      </w:r>
      <w:r>
        <w:t xml:space="preserve">société, un prescripteur ou un fournisseur,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d’une extraction de toutes les ventes enregistrées. Cette extraction comptait</w:t>
      </w:r>
      <w:r>
        <w:t xml:space="preserve"> </w:t>
      </w:r>
      <w:r>
        <w:rPr>
          <w:bCs/>
          <w:b/>
        </w:rPr>
        <w:t xml:space="preserve">1 602 lignes</w:t>
      </w:r>
      <w:r>
        <w:t xml:space="preserve">, auxquelles s’ajoutait une seconde extraction, réalisée avec MyReport</w:t>
      </w:r>
      <w:r>
        <w:t xml:space="preserve"> </w:t>
      </w:r>
      <w:r>
        <w:t xml:space="preserve">Builder, portant les coordonnées de contact des acquéreurs et de leurs co-acquéreurs :</w:t>
      </w:r>
      <w:r>
        <w:t xml:space="preserve"> </w:t>
      </w:r>
      <w:r>
        <w:t xml:space="preserve">adresses postales, courriels et numéros de téléphone.</w:t>
      </w:r>
    </w:p>
    <w:p>
      <w:pPr>
        <w:pStyle w:val="BodyText"/>
      </w:pPr>
      <w:r>
        <w:t xml:space="preserve">La difficulté n’était pas la volumétrie, qui reste modeste au regard des 283 opérations</w:t>
      </w:r>
      <w:r>
        <w:t xml:space="preserve"> </w:t>
      </w:r>
      <w:r>
        <w:t xml:space="preserve">traitées au premier semestre.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 acquéreur qui a</w:t>
      </w:r>
      <w:r>
        <w:t xml:space="preserve"> </w:t>
      </w:r>
      <w:r>
        <w:t xml:space="preserve">acheté trois lots apparaît donc trois fois, et rien dans le fichier ne le 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20"/>
    <w:bookmarkStart w:id="21" w:name="lenjeu-central-créer-sans-dupliquer"/>
    <w:p>
      <w:pPr>
        <w:pStyle w:val="Heading3"/>
      </w:pPr>
      <w:r>
        <w:t xml:space="preserve">1.1.2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13 000 tiers y avaient déjà été créés, soit par des saisies manuelles réalisées par les</w:t>
      </w:r>
      <w:r>
        <w:t xml:space="preserve"> </w:t>
      </w:r>
      <w:r>
        <w:t xml:space="preserve">équipes commerciales depuis le démarrage de l’outil, soit par d’autres canaux d’alimentation.</w:t>
      </w:r>
      <w:r>
        <w:t xml:space="preserve"> </w:t>
      </w:r>
      <w:r>
        <w:t xml:space="preserve">Injecter mes 1 602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13 000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manière à ce que la décision d’importer ou non une ligne soit calculée et non prise au</w:t>
      </w:r>
      <w:r>
        <w:t xml:space="preserve"> </w:t>
      </w:r>
      <w:r>
        <w:t xml:space="preserve">cas par cas.</w:t>
      </w:r>
    </w:p>
    <w:bookmarkEnd w:id="21"/>
    <w:bookmarkEnd w:id="22"/>
    <w:bookmarkStart w:id="31" w:name="X874fc18de8a1eecd350e55b90219d3d5272c81c"/>
    <w:p>
      <w:pPr>
        <w:pStyle w:val="Heading2"/>
      </w:pPr>
      <w:r>
        <w:t xml:space="preserve">1.2 Conception du fichier de travail : une chaîne de traitement pilotée par formules</w:t>
      </w:r>
    </w:p>
    <w:bookmarkStart w:id="26" w:name="Xb36129c71efebcaf52db8a3f0db2a59757cf358"/>
    <w:p>
      <w:pPr>
        <w:pStyle w:val="Heading3"/>
      </w:pPr>
      <w:r>
        <w:t xml:space="preserve">1.2.1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1 557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1 602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24" name="Picture"/>
            <a:graphic>
              <a:graphicData uri="http://schemas.openxmlformats.org/drawingml/2006/picture">
                <pic:pic>
                  <pic:nvPicPr>
                    <pic:cNvPr descr="figures/fig_1_1_chaine_traite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26"/>
    <w:bookmarkStart w:id="30" w:name="Xc561d59e2959c4252bdc762a8b3c6099541ba75"/>
    <w:p>
      <w:pPr>
        <w:pStyle w:val="Heading3"/>
      </w:pPr>
      <w:r>
        <w:t xml:space="preserve">1.2.2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1.2, reprise de mon mémoire de mi-parcours,</w:t>
      </w:r>
      <w:r>
        <w:t xml:space="preserve"> </w:t>
      </w:r>
      <w:r>
        <w:t xml:space="preserve">montre l’interface du module DirectAPI avec la ressource « Tiers » sélectionnée : on y lit</w:t>
      </w:r>
      <w:r>
        <w:t xml:space="preserve"> </w:t>
      </w:r>
      <w:r>
        <w:t xml:space="preserve">directement cette décomposition, puisque l’écran propose un emplacement de fichier distinct</w:t>
      </w:r>
      <w:r>
        <w:t xml:space="preserve"> </w:t>
      </w:r>
      <w:r>
        <w:t xml:space="preserve">pour les tiers, les représentants, les adresses, les courriels, les téléphones et les rôles.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du module DirectAPI, ressource « Tiers » : chaque objet rattaché appelle son propre fichier d’import" title="" id="28" name="Picture"/>
            <a:graphic>
              <a:graphicData uri="http://schemas.openxmlformats.org/drawingml/2006/picture">
                <pic:pic>
                  <pic:nvPicPr>
                    <pic:cNvPr descr="figures/fig_1_2_directapi_ti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L’interface du module DirectAPI, ressource « Tiers » : chaque objet rattaché appelle son propre fichier d’import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30"/>
    <w:bookmarkEnd w:id="31"/>
    <w:bookmarkStart w:id="41" w:name="les-trois-mécanismes-algorithmiques"/>
    <w:p>
      <w:pPr>
        <w:pStyle w:val="Heading2"/>
      </w:pPr>
      <w:r>
        <w:t xml:space="preserve">1.3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l’apport</w:t>
      </w:r>
      <w:r>
        <w:t xml:space="preserve"> </w:t>
      </w:r>
      <w:r>
        <w:t xml:space="preserve">méthodologique de ce travail, et ce sont eux qui font la différence entre un simple fichier</w:t>
      </w:r>
      <w:r>
        <w:t xml:space="preserve"> </w:t>
      </w:r>
      <w:r>
        <w:t xml:space="preserve">de mise en forme et un véritable outil de reprise.</w:t>
      </w:r>
    </w:p>
    <w:bookmarkStart w:id="32" w:name="X25567ac3b9c165f27b3c00e936fcd14508ffd86"/>
    <w:p>
      <w:pPr>
        <w:pStyle w:val="Heading3"/>
      </w:pPr>
      <w:r>
        <w:t xml:space="preserve">1.3.1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que deux personnes</w:t>
      </w:r>
      <w:r>
        <w:t xml:space="preserve"> </w:t>
      </w:r>
      <w:r>
        <w:t xml:space="preserve">homonymes nées le même jour à la même adresse sont, en pratique, la même personne.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 du dossier de vente,</w:t>
      </w:r>
      <w:r>
        <w:t xml:space="preserve"> </w:t>
      </w:r>
      <w:r>
        <w:t xml:space="preserve">désigné ADV dans nos extractions, complétés du nom et du prénom du co-acquéreur, désigné</w:t>
      </w:r>
      <w:r>
        <w:t xml:space="preserve"> </w:t>
      </w:r>
      <w:r>
        <w:t xml:space="preserve">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 ; l’adresse ajoute une sécurité pour les cas</w:t>
      </w:r>
      <w:r>
        <w:t xml:space="preserve"> </w:t>
      </w:r>
      <w:r>
        <w:t xml:space="preserve">où elle n’est pas renseignée de façon fiable.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légal, il suffirait seul, mais il n’est pas toujours renseigné dans les données</w:t>
      </w:r>
      <w:r>
        <w:t xml:space="preserve"> </w:t>
      </w:r>
      <w:r>
        <w:t xml:space="preserve">historiques : la raison sociale prend alors le relais.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ce qui permet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 propriété du</w:t>
      </w:r>
      <w:r>
        <w:t xml:space="preserve"> </w:t>
      </w:r>
      <w:r>
        <w:t xml:space="preserve">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32"/>
    <w:bookmarkStart w:id="36" w:name="Xed9f9aadc86800bee5b2628c12d2096a19bdeba"/>
    <w:p>
      <w:pPr>
        <w:pStyle w:val="Heading3"/>
      </w:pPr>
      <w:r>
        <w:t xml:space="preserve">1.3.2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8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8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8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1 474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1.3 récapitule l’effet cumulé de ces deux premiers mécanismes. Des 1 602 lignes</w:t>
      </w:r>
      <w:r>
        <w:t xml:space="preserve"> </w:t>
      </w:r>
      <w:r>
        <w:t xml:space="preserve">brutes issues de Vadimm, la déduplication interne en écarte 128 qui correspondent à des</w:t>
      </w:r>
      <w:r>
        <w:t xml:space="preserve"> </w:t>
      </w:r>
      <w:r>
        <w:t xml:space="preserve">achats répétés, ce qui ramène à 1 474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1 434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96045"/>
            <wp:effectExtent b="0" l="0" r="0" t="0"/>
            <wp:docPr descr="De 1 602 lignes brutes à 1 434 tiers créés : l’effet des deux filtres successifs" title="" id="34" name="Picture"/>
            <a:graphic>
              <a:graphicData uri="http://schemas.openxmlformats.org/drawingml/2006/picture">
                <pic:pic>
                  <pic:nvPicPr>
                    <pic:cNvPr descr="figures/fig_1_3_entonnoir_volumetri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9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De 1 602 lignes brutes à 1 434 tiers créés : l’effet des deux filtres successifs</w:t>
      </w:r>
    </w:p>
    <w:bookmarkEnd w:id="36"/>
    <w:bookmarkStart w:id="40" w:name="X8e48716cd2519bf25bfa7252f2937d1001c6cbb"/>
    <w:p>
      <w:pPr>
        <w:pStyle w:val="Heading3"/>
      </w:pPr>
      <w:r>
        <w:t xml:space="preserve">1.3.3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dont</w:t>
      </w:r>
      <w:r>
        <w:t xml:space="preserve"> </w:t>
      </w:r>
      <w:r>
        <w:t xml:space="preserve">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1.4 donne la volumétrie effectivement produite par chacune des six feuilles. On</w:t>
      </w:r>
      <w:r>
        <w:t xml:space="preserve"> </w:t>
      </w:r>
      <w:r>
        <w:t xml:space="preserve">y lit directement le modèle de données décrit plus haut : 1 434 lignes pour la liste</w:t>
      </w:r>
      <w:r>
        <w:t xml:space="preserve"> </w:t>
      </w:r>
      <w:r>
        <w:t xml:space="preserve">maîtresse des tiers et autant pour l’attribution du rôle « Client », mais 1 871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38" name="Picture"/>
            <a:graphic>
              <a:graphicData uri="http://schemas.openxmlformats.org/drawingml/2006/picture">
                <pic:pic>
                  <pic:nvPicPr>
                    <pic:cNvPr descr="figures/fig_1_4_volumetrie_fichiers_impo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Les six fichiers d’import produits par la feuille pivot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de la feuille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montrant côte à côte les colonnes de données reprises et les colonnes calculées : les trois</w:t>
      </w:r>
      <w:r>
        <w:rPr>
          <w:bCs/>
          <w:b/>
        </w:rPr>
        <w:t xml:space="preserve"> </w:t>
      </w:r>
      <w:r>
        <w:rPr>
          <w:bCs/>
          <w:b/>
        </w:rPr>
        <w:t xml:space="preserve">rangs de déduplication avec des valeurs 1 et 2 visibles, une ligne portant un code SPO dans</w:t>
      </w:r>
      <w:r>
        <w:rPr>
          <w:bCs/>
          <w:b/>
        </w:rPr>
        <w:t xml:space="preserve"> </w:t>
      </w:r>
      <w:r>
        <w:rPr>
          <w:bCs/>
          <w:b/>
        </w:rPr>
        <w:t xml:space="preserve">les colonnes de matching, et le panneau de contrôle avec ses compteurs. À insérer ici, avec</w:t>
      </w:r>
      <w:r>
        <w:rPr>
          <w:bCs/>
          <w:b/>
        </w:rPr>
        <w:t xml:space="preserve"> </w:t>
      </w:r>
      <w:r>
        <w:rPr>
          <w:bCs/>
          <w:b/>
        </w:rPr>
        <w:t xml:space="preserve">renumérotation des figures suivantes.]</w:t>
      </w:r>
    </w:p>
    <w:bookmarkEnd w:id="40"/>
    <w:bookmarkEnd w:id="41"/>
    <w:bookmarkStart w:id="44" w:name="X9f16b6badd74dad5d51a141a34c6403b7364c15"/>
    <w:p>
      <w:pPr>
        <w:pStyle w:val="Heading2"/>
      </w:pPr>
      <w:r>
        <w:t xml:space="preserve">1.4 De la préparation à l’injection : procédure et contraintes techniques</w:t>
      </w:r>
    </w:p>
    <w:bookmarkStart w:id="42" w:name="X089274de5f94372c49c715cfd2b3239808f155b"/>
    <w:p>
      <w:pPr>
        <w:pStyle w:val="Heading3"/>
      </w:pPr>
      <w:r>
        <w:t xml:space="preserve">1.4.1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qu’aucune documentation ne mentionnait et que j’ai</w:t>
      </w:r>
      <w:r>
        <w:t xml:space="preserve"> </w:t>
      </w:r>
      <w:r>
        <w:t xml:space="preserve">découvertes par rejets successifs.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</w:t>
      </w:r>
      <w:r>
        <w:t xml:space="preserve"> </w:t>
      </w:r>
      <w:r>
        <w:t xml:space="preserve">configuration attendue par l’outil d’import ; toute autre combinaison produit un fichier</w:t>
      </w:r>
      <w:r>
        <w:t xml:space="preserve"> </w:t>
      </w:r>
      <w:r>
        <w:t xml:space="preserve">lu comme une colonne unique.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se soit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42"/>
    <w:bookmarkStart w:id="43" w:name="Xbcf0721a2fd042b3991778598dd74225cd6534f"/>
    <w:p>
      <w:pPr>
        <w:pStyle w:val="Heading3"/>
      </w:pPr>
      <w:r>
        <w:t xml:space="preserve">1.4.2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laissaient les coordonnées de contact vides.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Trois options s’offraient à moi.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deuxième, demander à l’éditeur</w:t>
      </w:r>
      <w:r>
        <w:t xml:space="preserve"> </w:t>
      </w:r>
      <w:r>
        <w:t xml:space="preserve">une évolution du format d’import, était sans rapport avec les délais du projet. La</w:t>
      </w:r>
      <w:r>
        <w:t xml:space="preserve"> </w:t>
      </w:r>
      <w:r>
        <w:t xml:space="preserve">troisième consistait à passer par l’API de SPO, que j’avais déjà pratiquée pour la reprise</w:t>
      </w:r>
      <w:r>
        <w:t xml:space="preserve"> </w:t>
      </w:r>
      <w:r>
        <w:t xml:space="preserve">des budgets au premier semestre. C’est celle que j’ai 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dans le fichier de travail, par formules et</w:t>
      </w:r>
      <w:r>
        <w:t xml:space="preserve"> </w:t>
      </w:r>
      <w:r>
        <w:t xml:space="preserve">sur le même principe de numérotation séquentielle que les feuilles de sortie, le corps</w:t>
      </w:r>
      <w:r>
        <w:t xml:space="preserve"> </w:t>
      </w:r>
      <w:r>
        <w:t xml:space="preserve">de chaque requête à partir des coordonnées présentes dans la feuille des coordonnées.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 que j’utilisais déjà pour mes</w:t>
      </w:r>
      <w:r>
        <w:t xml:space="preserve"> </w:t>
      </w:r>
      <w:r>
        <w:t xml:space="preserve">essais unitaires.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</w:t>
      </w:r>
      <w:r>
        <w:t xml:space="preserve"> </w:t>
      </w:r>
      <w:r>
        <w:t xml:space="preserve">correspondant aux cinq fichiers d’import de couples, afin que l’ordre d’exécution suive</w:t>
      </w:r>
      <w:r>
        <w:t xml:space="preserve"> </w:t>
      </w:r>
      <w:r>
        <w:t xml:space="preserve">exactement l’ordre de création.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FirstParagraph"/>
      </w:pPr>
      <w:r>
        <w:rPr>
          <w:bCs/>
          <w:b/>
        </w:rPr>
        <w:t xml:space="preserve">[Emplacement réservé pour une figure — capture d’écran de la collection Postman :</w:t>
      </w:r>
      <w:r>
        <w:rPr>
          <w:bCs/>
          <w:b/>
        </w:rPr>
        <w:t xml:space="preserve"> </w:t>
      </w:r>
      <w:r>
        <w:rPr>
          <w:bCs/>
          <w:b/>
        </w:rPr>
        <w:t xml:space="preserve">arborescence des cinq lots et vue d’une requête PATCH sur son onglet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Body</w:t>
      </w:r>
      <w:r>
        <w:rPr>
          <w:bCs/>
          <w:b/>
        </w:rPr>
        <w:t xml:space="preserve">, montrant la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 JSON Patch. Masquer l’adresse du serveur et les identifiants, comme sur la</w:t>
      </w:r>
      <w:r>
        <w:rPr>
          <w:bCs/>
          <w:b/>
        </w:rPr>
        <w:t xml:space="preserve"> </w:t>
      </w:r>
      <w:r>
        <w:rPr>
          <w:bCs/>
          <w:b/>
        </w:rPr>
        <w:t xml:space="preserve">Figure 1.2. À insérer ici, avec renumérotation des figures suivantes.]</w:t>
      </w:r>
    </w:p>
    <w:p>
      <w:pPr>
        <w:pStyle w:val="BodyText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ce projet m’a fait acquérir bien</w:t>
      </w:r>
      <w:r>
        <w:t xml:space="preserve"> </w:t>
      </w:r>
      <w:r>
        <w:t xml:space="preserve">plus que la précédente reprise.</w:t>
      </w:r>
    </w:p>
    <w:bookmarkEnd w:id="43"/>
    <w:bookmarkEnd w:id="44"/>
    <w:bookmarkStart w:id="45" w:name="X743e9e8b4641d249535407cbe173e083d55b539"/>
    <w:p>
      <w:pPr>
        <w:pStyle w:val="Heading2"/>
      </w:pPr>
      <w:r>
        <w:t xml:space="preserve">1.5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1 434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1 602 lignes.</w:t>
      </w:r>
    </w:p>
    <w:bookmarkEnd w:id="45"/>
    <w:bookmarkStart w:id="49" w:name="X456fd8e6f45575d4ba8758ce3c88b742be63010"/>
    <w:p>
      <w:pPr>
        <w:pStyle w:val="Heading2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1 434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1.5.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 434 tiers créés selon leur nature" title="" id="47" name="Picture"/>
            <a:graphic>
              <a:graphicData uri="http://schemas.openxmlformats.org/drawingml/2006/picture">
                <pic:pic>
                  <pic:nvPicPr>
                    <pic:cNvPr descr="figures/fig_1_5_repartition_natur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Répartition des 1 434 tiers créés selon leur nature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d’une fiche de couple dans SPO,</w:t>
      </w:r>
      <w:r>
        <w:rPr>
          <w:bCs/>
          <w:b/>
        </w:rPr>
        <w:t xml:space="preserve"> </w:t>
      </w:r>
      <w:r>
        <w:rPr>
          <w:bCs/>
          <w:b/>
        </w:rPr>
        <w:t xml:space="preserve">onglet des représentants ouvert, montrant les deux personnes du couple et les coordonnées</w:t>
      </w:r>
      <w:r>
        <w:rPr>
          <w:bCs/>
          <w:b/>
        </w:rPr>
        <w:t xml:space="preserve"> </w:t>
      </w:r>
      <w:r>
        <w:rPr>
          <w:bCs/>
          <w:b/>
        </w:rPr>
        <w:t xml:space="preserve">ajoutées par requête PATCH sur l’une d’elles. Anonymiser les noms. À insérer ici.]</w:t>
      </w:r>
    </w:p>
    <w:p>
      <w:pPr>
        <w:pStyle w:val="BodyText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Trois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insérer une ligne au milieu de la feuille pivot ou de la feuille de coordonnées,</w:t>
      </w:r>
      <w:r>
        <w:t xml:space="preserve"> </w:t>
      </w:r>
      <w:r>
        <w:t xml:space="preserve">ce qui décale toutes les références ; et trier la feuille pivot, ce qui détruit la logique</w:t>
      </w:r>
      <w:r>
        <w:t xml:space="preserve"> </w:t>
      </w:r>
      <w:r>
        <w:t xml:space="preserve">de rang, celle-ci étant calculée de façon cumulative sur l’ordre des lignes. Aucune de ces</w:t>
      </w:r>
      <w:r>
        <w:t xml:space="preserve"> </w:t>
      </w:r>
      <w:r>
        <w:t xml:space="preserve">trois manipulations ne produit de message d’erreur, ce qui les rend d’autant plus</w:t>
      </w:r>
      <w:r>
        <w:t xml:space="preserve"> </w:t>
      </w:r>
      <w:r>
        <w:t xml:space="preserve">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ce qui produit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ce qui cassait</w:t>
      </w:r>
      <w:r>
        <w:t xml:space="preserve"> </w:t>
      </w:r>
      <w:r>
        <w:t xml:space="preserve">la 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disposais, et il</w:t>
      </w:r>
      <w:r>
        <w:t xml:space="preserve"> </w:t>
      </w:r>
      <w:r>
        <w:t xml:space="preserve">a effectivement révélé plusieurs anomalies que rien d’autre n’aurait signalées.</w:t>
      </w:r>
    </w:p>
    <w:p>
      <w:pPr>
        <w:pStyle w:val="BodyText"/>
      </w:pPr>
      <w:r>
        <w:t xml:space="preserve">Un dernier point de vigilance relève de la performance. Le fichier comporte environ 60 000</w:t>
      </w:r>
      <w:r>
        <w:t xml:space="preserve"> </w:t>
      </w:r>
      <w:r>
        <w:t xml:space="preserve">cellules de formules, ce qui rend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opérations, les tranches et les budgets migrés</w:t>
      </w:r>
      <w:r>
        <w:t xml:space="preserve"> </w:t>
      </w:r>
      <w:r>
        <w:t xml:space="preserve">au premier semestre, les 1 434 clients acquéreurs disposent désormais dans SPO d’une fiche</w:t>
      </w:r>
      <w:r>
        <w:t xml:space="preserve"> </w:t>
      </w:r>
      <w:r>
        <w:t xml:space="preserve">unique, correctement typée, dotée de ses coordonnées, de ses représentants et de son rôle.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Cependant, la donnée client est désormais</w:t>
      </w:r>
      <w:r>
        <w:t xml:space="preserve"> </w:t>
      </w:r>
      <w:r>
        <w:t xml:space="preserve">fiable, et c’est ce qui compte pour la suite.</w:t>
      </w:r>
    </w:p>
    <w:p>
      <w:pPr>
        <w:pStyle w:val="BodyText"/>
      </w:pPr>
      <w:r>
        <w:t xml:space="preserve">Ce chapitre aura montré, je l’espère, que la valeur de ce travail ne se mesure pas au</w:t>
      </w:r>
      <w:r>
        <w:t xml:space="preserve"> </w:t>
      </w:r>
      <w:r>
        <w:t xml:space="preserve">nombre de lignes importées. Elle tient d’abord au choix des trois clés d’unicité, qui</w:t>
      </w:r>
      <w:r>
        <w:t xml:space="preserve"> </w:t>
      </w:r>
      <w:r>
        <w:t xml:space="preserve">décide de ce qu’est un client dans notre référentiel ; ensuite à la capacité à contourner</w:t>
      </w:r>
      <w:r>
        <w:t xml:space="preserve"> </w:t>
      </w:r>
      <w:r>
        <w:t xml:space="preserve">une limite de format en changeant de porte d’entrée vers le système ; enfin à la</w:t>
      </w:r>
      <w:r>
        <w:t xml:space="preserve"> </w:t>
      </w:r>
      <w:r>
        <w:t xml:space="preserve">documentation des arbitrages, qui rend la reprise vérifiable par quelqu’un d’autre que</w:t>
      </w:r>
      <w:r>
        <w:t xml:space="preserve"> </w:t>
      </w:r>
      <w:r>
        <w:t xml:space="preserve">celle qui l’a faite. Ce sont trois compétences d’ingénierie des données, et non de saisie.</w:t>
      </w:r>
    </w:p>
    <w:p>
      <w:pPr>
        <w:pStyle w:val="BodyText"/>
      </w:pPr>
      <w:r>
        <w:t xml:space="preserve">Cette étape était aussi un prérequis. Je concluais mon mémoire de mi-parcours en avançant</w:t>
      </w:r>
      <w:r>
        <w:t xml:space="preserve"> </w:t>
      </w:r>
      <w:r>
        <w:t xml:space="preserve">que la qualité de l’architecture de données est le socle indispensable de toute</w:t>
      </w:r>
      <w:r>
        <w:t xml:space="preserve"> </w:t>
      </w:r>
      <w:r>
        <w:t xml:space="preserve">modélisation, et que le report de mon projet de Data Science au second semestre était moins</w:t>
      </w:r>
      <w:r>
        <w:t xml:space="preserve"> </w:t>
      </w:r>
      <w:r>
        <w:t xml:space="preserve">un retard qu’une conséquence logique de cet ordre des choses. Il est temps de le</w:t>
      </w:r>
      <w:r>
        <w:t xml:space="preserve"> </w:t>
      </w:r>
      <w:r>
        <w:t xml:space="preserve">démontrer plutôt que de l’affirmer. Le chapitre suivant présente le projet que ce socle a</w:t>
      </w:r>
      <w:r>
        <w:t xml:space="preserve"> </w:t>
      </w:r>
      <w:r>
        <w:t xml:space="preserve">rendu possible : le Copilote Financier, un outil d’aide à la décision construit sur les</w:t>
      </w:r>
      <w:r>
        <w:t xml:space="preserve"> </w:t>
      </w:r>
      <w:r>
        <w:t xml:space="preserve">données de gestion du groupe pour sa direction financière. On y verra que les mêmes</w:t>
      </w:r>
      <w:r>
        <w:t xml:space="preserve"> </w:t>
      </w:r>
      <w:r>
        <w:t xml:space="preserve">questions reviennent, déplacées d’un cran : comprendre ce que contient réellement un export</w:t>
      </w:r>
      <w:r>
        <w:t xml:space="preserve"> </w:t>
      </w:r>
      <w:r>
        <w:t xml:space="preserve">avant de le modéliser, écrire une définition une seule fois pour que tout le monde</w:t>
      </w:r>
      <w:r>
        <w:t xml:space="preserve"> </w:t>
      </w:r>
      <w:r>
        <w:t xml:space="preserve">consomme la même, et savoir dire ce qu’un résultat ne permet pas de conclure.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migration des tiers vers SPO</dc:title>
  <dc:creator>Yasmina Saoud</dc:creator>
  <dc:language>fr</dc:language>
  <cp:keywords/>
  <dcterms:created xsi:type="dcterms:W3CDTF">2026-08-17T21:35:42Z</dcterms:created>
  <dcterms:modified xsi:type="dcterms:W3CDTF">2026-08-17T21:35:42Z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0</vt:lpwstr>
  </property>
  <property fmtid="{D5CDD505-2E9C-101B-9397-08002B2CF9AE}" pid="3" name="date">
    <vt:lpwstr/>
  </property>
  <property fmtid="{D5CDD505-2E9C-101B-9397-08002B2CF9AE}" pid="4" name="output">
    <vt:lpwstr/>
  </property>
</Properties>
</file>