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65" w:name="le-copilote-financier"/>
    <w:p>
      <w:pPr>
        <w:pStyle w:val="Heading1"/>
      </w:pPr>
      <w:r>
        <w:t xml:space="preserve">2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2.1 Contexte</w:t>
      </w:r>
    </w:p>
    <w:p>
      <w:pPr>
        <w:numPr>
          <w:ilvl w:val="1"/>
          <w:numId w:val="1002"/>
        </w:numPr>
        <w:pStyle w:val="Compact"/>
      </w:pPr>
      <w:r>
        <w:t xml:space="preserve">2.1.1 Problème métier</w:t>
      </w:r>
    </w:p>
    <w:p>
      <w:pPr>
        <w:numPr>
          <w:ilvl w:val="2"/>
          <w:numId w:val="1003"/>
        </w:numPr>
        <w:pStyle w:val="Compact"/>
      </w:pPr>
      <w:r>
        <w:t xml:space="preserve">2.1.1.1 Besoins par axe et exigences non fonctionnelles</w:t>
      </w:r>
    </w:p>
    <w:p>
      <w:pPr>
        <w:numPr>
          <w:ilvl w:val="1"/>
          <w:numId w:val="1002"/>
        </w:numPr>
        <w:pStyle w:val="Compact"/>
      </w:pPr>
      <w:r>
        <w:t xml:space="preserve">2.1.2 Objectifs du dashboard</w:t>
      </w:r>
    </w:p>
    <w:p>
      <w:pPr>
        <w:numPr>
          <w:ilvl w:val="0"/>
          <w:numId w:val="1001"/>
        </w:numPr>
        <w:pStyle w:val="Compact"/>
      </w:pPr>
      <w:r>
        <w:t xml:space="preserve">2.2 Données disponibles</w:t>
      </w:r>
    </w:p>
    <w:p>
      <w:pPr>
        <w:numPr>
          <w:ilvl w:val="1"/>
          <w:numId w:val="1004"/>
        </w:numPr>
        <w:pStyle w:val="Compact"/>
      </w:pPr>
      <w:r>
        <w:t xml:space="preserve">2.2.1 Données internes</w:t>
      </w:r>
    </w:p>
    <w:p>
      <w:pPr>
        <w:numPr>
          <w:ilvl w:val="1"/>
          <w:numId w:val="1004"/>
        </w:numPr>
        <w:pStyle w:val="Compact"/>
      </w:pPr>
      <w:r>
        <w:t xml:space="preserve">2.2.2 Données externes</w:t>
      </w:r>
    </w:p>
    <w:p>
      <w:pPr>
        <w:numPr>
          <w:ilvl w:val="0"/>
          <w:numId w:val="1001"/>
        </w:numPr>
        <w:pStyle w:val="Compact"/>
      </w:pPr>
      <w:r>
        <w:t xml:space="preserve">2.3 Architecture technique</w:t>
      </w:r>
    </w:p>
    <w:p>
      <w:pPr>
        <w:numPr>
          <w:ilvl w:val="0"/>
          <w:numId w:val="1001"/>
        </w:numPr>
        <w:pStyle w:val="Compact"/>
      </w:pPr>
      <w:r>
        <w:t xml:space="preserve">2.4 Notebooks et résultats</w:t>
      </w:r>
    </w:p>
    <w:p>
      <w:pPr>
        <w:numPr>
          <w:ilvl w:val="1"/>
          <w:numId w:val="1005"/>
        </w:numPr>
        <w:pStyle w:val="Compact"/>
      </w:pPr>
      <w:r>
        <w:t xml:space="preserve">2.4.1 Exploration et nettoyage des données brutes</w:t>
      </w:r>
    </w:p>
    <w:p>
      <w:pPr>
        <w:numPr>
          <w:ilvl w:val="1"/>
          <w:numId w:val="1005"/>
        </w:numPr>
        <w:pStyle w:val="Compact"/>
      </w:pPr>
      <w:r>
        <w:t xml:space="preserve">2.4.2 SQL et Spark</w:t>
      </w:r>
    </w:p>
    <w:p>
      <w:pPr>
        <w:numPr>
          <w:ilvl w:val="1"/>
          <w:numId w:val="1005"/>
        </w:numPr>
        <w:pStyle w:val="Compact"/>
      </w:pPr>
      <w:r>
        <w:t xml:space="preserve">2.4.3 Axe A</w:t>
      </w:r>
    </w:p>
    <w:p>
      <w:pPr>
        <w:numPr>
          <w:ilvl w:val="1"/>
          <w:numId w:val="1005"/>
        </w:numPr>
        <w:pStyle w:val="Compact"/>
      </w:pPr>
      <w:r>
        <w:t xml:space="preserve">2.4.4 Axe B</w:t>
      </w:r>
    </w:p>
    <w:p>
      <w:pPr>
        <w:numPr>
          <w:ilvl w:val="1"/>
          <w:numId w:val="1005"/>
        </w:numPr>
        <w:pStyle w:val="Compact"/>
      </w:pPr>
      <w:r>
        <w:t xml:space="preserve">2.4.5 Axe C</w:t>
      </w:r>
    </w:p>
    <w:p>
      <w:pPr>
        <w:numPr>
          <w:ilvl w:val="1"/>
          <w:numId w:val="1005"/>
        </w:numPr>
        <w:pStyle w:val="Compact"/>
      </w:pPr>
      <w:r>
        <w:t xml:space="preserve">2.4.6 Signaux faibles (texte et réseau)</w:t>
      </w:r>
    </w:p>
    <w:p>
      <w:pPr>
        <w:numPr>
          <w:ilvl w:val="0"/>
          <w:numId w:val="1001"/>
        </w:numPr>
        <w:pStyle w:val="Compact"/>
      </w:pPr>
      <w:r>
        <w:t xml:space="preserve">2.5 Plateforme Streamlit</w:t>
      </w:r>
    </w:p>
    <w:p>
      <w:pPr>
        <w:numPr>
          <w:ilvl w:val="0"/>
          <w:numId w:val="1001"/>
        </w:numPr>
        <w:pStyle w:val="Compact"/>
      </w:pPr>
      <w:r>
        <w:t xml:space="preserve">2.6 Périmètre et limites</w:t>
      </w:r>
    </w:p>
    <w:p>
      <w:pPr>
        <w:numPr>
          <w:ilvl w:val="0"/>
          <w:numId w:val="1001"/>
        </w:numPr>
        <w:pStyle w:val="Compact"/>
      </w:pPr>
      <w:r>
        <w:t xml:space="preserve">2.7 Conclusion du chapitre et conclusion générale</w:t>
      </w:r>
    </w:p>
    <w:p>
      <w:pPr>
        <w:pStyle w:val="FirstParagraph"/>
      </w:pPr>
      <w:r>
        <w:t xml:space="preserve">Ce chapitre présente le projet de Data Science que j’annonçais en fin de mémoire de</w:t>
      </w:r>
      <w:r>
        <w:t xml:space="preserve"> </w:t>
      </w:r>
      <w:r>
        <w:t xml:space="preserve">mi-parcours : le « Copilote Financier », un outil d’aide à la décision construit sur les</w:t>
      </w:r>
      <w:r>
        <w:t xml:space="preserve"> </w:t>
      </w:r>
      <w:r>
        <w:t xml:space="preserve">données de gestion du groupe Angelotti pour sa direction financière. J’y expose d’abord le</w:t>
      </w:r>
      <w:r>
        <w:t xml:space="preserve"> </w:t>
      </w:r>
      <w:r>
        <w:t xml:space="preserve">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23" w:name="contexte"/>
    <w:p>
      <w:pPr>
        <w:pStyle w:val="Heading2"/>
      </w:pPr>
      <w:r>
        <w:t xml:space="preserve">2.1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Chaque contrôleur de gestion connaît très bien les</w:t>
      </w:r>
      <w:r>
        <w:t xml:space="preserve"> </w:t>
      </w:r>
      <w:r>
        <w:t xml:space="preserve">dossiers dont il a la charge ; personne ne dispose d’une vue d’ensemble permettant de dire,</w:t>
      </w:r>
      <w:r>
        <w:t xml:space="preserve"> </w:t>
      </w:r>
      <w:r>
        <w:t xml:space="preserve">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21" w:name="problème-métier"/>
    <w:p>
      <w:pPr>
        <w:pStyle w:val="Heading3"/>
      </w:pPr>
      <w:r>
        <w:t xml:space="preserve">2.1.1 Problème métier</w:t>
      </w:r>
    </w:p>
    <w:p>
      <w:pPr>
        <w:pStyle w:val="FirstParagraph"/>
      </w:pPr>
      <w:r>
        <w:t xml:space="preserve">En échangeant avec la direction financière, j’ai identifié trois questions qui structurent</w:t>
      </w:r>
      <w:r>
        <w:t xml:space="preserve"> </w:t>
      </w:r>
      <w:r>
        <w:t xml:space="preserve">les revues de gestion et auxquelles les tableurs actuels ne répondent 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1,1 % à un pic de 3,6 % fin 2023, avant</w:t>
      </w:r>
      <w:r>
        <w:t xml:space="preserve"> </w:t>
      </w:r>
      <w:r>
        <w:t xml:space="preserve">de refluer vers 3,1 %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 ? La question n’est</w:t>
      </w:r>
      <w:r>
        <w:t xml:space="preserve"> </w:t>
      </w:r>
      <w:r>
        <w:t xml:space="preserve">pas théorique, puisque 45 % des 2 157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cas, sans grille ni justification chiffrée.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 Le matériau disponible se résume à 267 opérations et quatre exports Excel, soit</w:t>
      </w:r>
      <w:r>
        <w:t xml:space="preserve"> </w:t>
      </w:r>
      <w:r>
        <w:t xml:space="preserve">une photographie à date. Cette lucidité initiale sur la nature du problème a évité, je</w:t>
      </w:r>
      <w:r>
        <w:t xml:space="preserve"> </w:t>
      </w:r>
      <w:r>
        <w:t xml:space="preserve">crois, une bonne partie des erreurs que j’aurais pu commettre en cherchant à appliquer des</w:t>
      </w:r>
      <w:r>
        <w:t xml:space="preserve"> </w:t>
      </w:r>
      <w:r>
        <w:t xml:space="preserve">méthodes disproportionnées.</w:t>
      </w:r>
    </w:p>
    <w:bookmarkStart w:id="20" w:name="Xcacbc28e4963aea1e7cfa59f0a47a06bee732ec"/>
    <w:p>
      <w:pPr>
        <w:pStyle w:val="Heading4"/>
      </w:pPr>
      <w:r>
        <w:t xml:space="preserve">2.1.1.1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travail, et je les ai posées avant de</w:t>
      </w:r>
      <w:r>
        <w:t xml:space="preserve"> </w:t>
      </w:r>
      <w:r>
        <w:t xml:space="preserve">commencer plutôt qu’après coup.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déterminent, faute de quoi un contrôleur de gestion n’a aucune raison de lui faire</w:t>
      </w:r>
      <w:r>
        <w:t xml:space="preserve"> </w:t>
      </w:r>
      <w:r>
        <w:t xml:space="preserve">confiance.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20"/>
    <w:bookmarkEnd w:id="21"/>
    <w:bookmarkStart w:id="22" w:name="objectifs-du-dashboard"/>
    <w:p>
      <w:pPr>
        <w:pStyle w:val="Heading3"/>
      </w:pPr>
      <w:r>
        <w:t xml:space="preserve">2.1.2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j’en ai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22"/>
    <w:bookmarkEnd w:id="23"/>
    <w:bookmarkStart w:id="26" w:name="données-disponibles"/>
    <w:p>
      <w:pPr>
        <w:pStyle w:val="Heading2"/>
      </w:pPr>
      <w:r>
        <w:t xml:space="preserve">2.2 Données disponibles</w:t>
      </w:r>
    </w:p>
    <w:bookmarkStart w:id="24" w:name="données-internes"/>
    <w:p>
      <w:pPr>
        <w:pStyle w:val="Heading3"/>
      </w:pPr>
      <w:r>
        <w:t xml:space="preserve">2.2.1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2 157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65 000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65 000 lignes se décomposent en 64 788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24"/>
    <w:bookmarkStart w:id="25" w:name="données-externes"/>
    <w:p>
      <w:pPr>
        <w:pStyle w:val="Heading3"/>
      </w:pPr>
      <w:r>
        <w:t xml:space="preserve">2.2.2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bookmarkEnd w:id="25"/>
    <w:bookmarkEnd w:id="26"/>
    <w:bookmarkStart w:id="27" w:name="architecture-technique"/>
    <w:p>
      <w:pPr>
        <w:pStyle w:val="Heading2"/>
      </w:pPr>
      <w:r>
        <w:t xml:space="preserve">2.3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64 788 lignes</w:t>
      </w:r>
      <w:r>
        <w:t xml:space="preserve"> </w:t>
      </w:r>
      <w:r>
        <w:t xml:space="preserve">budgétaires, 14 123 lots, 14 428 dossiers de vente et 2 164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le problème que j’avais rencontré sur les reportings décrits dans mon mémoire de</w:t>
      </w:r>
      <w:r>
        <w:t xml:space="preserve"> </w:t>
      </w:r>
      <w:r>
        <w:t xml:space="preserve">mi-parcours, où la même notion pouvait être calculée différemment selon l’outil qui</w:t>
      </w:r>
      <w:r>
        <w:t xml:space="preserve"> </w:t>
      </w:r>
      <w:r>
        <w:t xml:space="preserve">l’interrogeait.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</w:t>
      </w:r>
    </w:p>
    <w:bookmarkEnd w:id="27"/>
    <w:bookmarkStart w:id="55" w:name="notebooks-et-résultats"/>
    <w:p>
      <w:pPr>
        <w:pStyle w:val="Heading2"/>
      </w:pPr>
      <w:r>
        <w:t xml:space="preserve">2.4 Notebooks et résultats</w:t>
      </w:r>
    </w:p>
    <w:bookmarkStart w:id="34" w:name="X602394daec039ef4331b05e21f2ad099f555b11"/>
    <w:p>
      <w:pPr>
        <w:pStyle w:val="Heading3"/>
      </w:pPr>
      <w:r>
        <w:t xml:space="preserve">2.4.1 Exploration et nettoyage des données brutes</w:t>
      </w:r>
    </w:p>
    <w:p>
      <w:pPr>
        <w:pStyle w:val="FirstParagraph"/>
      </w:pPr>
      <w:r>
        <w:t xml:space="preserve">Au-delà du nettoyage décrit en section 2.2,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interdisait</w:t>
      </w:r>
      <w:r>
        <w:t xml:space="preserve"> </w:t>
      </w:r>
      <w:r>
        <w:t xml:space="preserve">d’appliquer telle quelle une régression linéaire.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2.1 montre les deux distributions côte à</w:t>
      </w:r>
      <w:r>
        <w:t xml:space="preserve"> </w:t>
      </w:r>
      <w:r>
        <w:t xml:space="preserve">côte. C’est ce constat qui a conduit l’axe C à modéliser le logarithme du prix plutôt que</w:t>
      </w:r>
      <w:r>
        <w:t xml:space="preserve"> </w:t>
      </w:r>
      <w:r>
        <w:t xml:space="preserve">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29" name="Picture"/>
            <a:graphic>
              <a:graphicData uri="http://schemas.openxmlformats.org/drawingml/2006/picture">
                <pic:pic>
                  <pic:nvPicPr>
                    <pic:cNvPr descr="figures/fig_2_1_prix_m2_lo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à la fois l’intuition des équipes commerciales et tout ce que</w:t>
      </w:r>
      <w:r>
        <w:t xml:space="preserve"> </w:t>
      </w:r>
      <w:r>
        <w:t xml:space="preserve">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ce qui soutient le</w:t>
      </w:r>
      <w:r>
        <w:t xml:space="preserve"> </w:t>
      </w:r>
      <w:r>
        <w:t xml:space="preserve">volume 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2.2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32" name="Picture"/>
            <a:graphic>
              <a:graphicData uri="http://schemas.openxmlformats.org/drawingml/2006/picture">
                <pic:pic>
                  <pic:nvPicPr>
                    <pic:cNvPr descr="figures/fig_2_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Intensité de vente, mesurée en réservations par opération active : l’effet de la remontée des taux apparaît une fois l’effet de portefeuille neutralisé</w:t>
      </w:r>
    </w:p>
    <w:bookmarkEnd w:id="34"/>
    <w:bookmarkStart w:id="35" w:name="sql-et-spark"/>
    <w:p>
      <w:pPr>
        <w:pStyle w:val="Heading3"/>
      </w:pPr>
      <w:r>
        <w:t xml:space="preserve">2.4.2 SQL et Spark</w:t>
      </w:r>
    </w:p>
    <w:p>
      <w:pPr>
        <w:pStyle w:val="FirstParagraph"/>
      </w:pPr>
      <w:r>
        <w:t xml:space="preserve">Le véritable livrable de cette étape est la base SQL décrite en section 2.3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1 561,8 M€ de dépenses budgétées et 1 754,8 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est concluant,</w:t>
      </w:r>
      <w:r>
        <w:t xml:space="preserve"> </w:t>
      </w:r>
      <w:r>
        <w:t xml:space="preserve">mais par la négative. Sur notre volumétrie, 64 788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la bonne architecture à cette échelle, et il faut savoir le</w:t>
      </w:r>
      <w:r>
        <w:t xml:space="preserve"> </w:t>
      </w:r>
      <w:r>
        <w:t xml:space="preserve">dire plutôt que d’ajouter une technologie parce qu’elle figure au programme. L’intérêt du</w:t>
      </w:r>
      <w:r>
        <w:t xml:space="preserve"> </w:t>
      </w:r>
      <w:r>
        <w:t xml:space="preserve">test est ailleurs : le chemin de montée en charge est identifié et documenté, si le</w:t>
      </w:r>
      <w:r>
        <w:t xml:space="preserve"> </w:t>
      </w:r>
      <w:r>
        <w:t xml:space="preserve">périmètre devait un jour s’étendre à celui du groupe Nexity.</w:t>
      </w:r>
    </w:p>
    <w:bookmarkEnd w:id="35"/>
    <w:bookmarkStart w:id="39" w:name="axe-a"/>
    <w:p>
      <w:pPr>
        <w:pStyle w:val="Heading3"/>
      </w:pPr>
      <w:r>
        <w:t xml:space="preserve">2.4.3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 définition, avec des</w:t>
      </w:r>
      <w:r>
        <w:t xml:space="preserve"> </w:t>
      </w:r>
      <w:r>
        <w:t xml:space="preserve">performances flatteuses et parfaitement trompeuses.</w:t>
      </w:r>
    </w:p>
    <w:p>
      <w:pPr>
        <w:pStyle w:val="BodyText"/>
      </w:pPr>
      <w:r>
        <w:t xml:space="preserve">Sur le périmètre exploitable, soit les 123 opérations engagées à au moins 60 % et dont la</w:t>
      </w:r>
      <w:r>
        <w:t xml:space="preserve"> </w:t>
      </w:r>
      <w:r>
        <w:t xml:space="preserve">marge budgétée dépasse 50 k€, plus d’un tiers des opérations, 36,6 % exactement, n’a aucun</w:t>
      </w:r>
      <w:r>
        <w:t xml:space="preserve"> </w:t>
      </w:r>
      <w:r>
        <w:t xml:space="preserve">dépassement engagé. Mais 28 % franchissent le seuil de dérive matérielle, que j’ai fixé à</w:t>
      </w:r>
      <w:r>
        <w:t xml:space="preserve"> </w:t>
      </w:r>
      <w:r>
        <w:t xml:space="preserve">2 % de la marge, et deux cas extrêmes dépassent la moitié de la marge budgétée. La</w:t>
      </w:r>
      <w:r>
        <w:t xml:space="preserve"> </w:t>
      </w:r>
      <w:r>
        <w:t xml:space="preserve">Figure 2.3 donne la distribution complète et situe ce seuil.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engagée sur les 123 opérations du périmètre, et seuil de dérive matérielle à -2 %" title="" id="37" name="Picture"/>
            <a:graphic>
              <a:graphicData uri="http://schemas.openxmlformats.org/drawingml/2006/picture">
                <pic:pic>
                  <pic:nvPicPr>
                    <pic:cNvPr descr="figures/fig_2_3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Distribution de la variation de marge engagée sur les 123 opérations du périmètre, et seuil de dérive matérielle à -2 %</w:t>
      </w:r>
    </w:p>
    <w:p>
      <w:pPr>
        <w:pStyle w:val="BodyText"/>
      </w:pPr>
      <w:r>
        <w:t xml:space="preserve">Un point mérite d’être dit clairement, parce qu’il va à l’encontre de ce qu’on attend d’un</w:t>
      </w:r>
      <w:r>
        <w:t xml:space="preserve"> </w:t>
      </w:r>
      <w:r>
        <w:t xml:space="preserve">projet de Data Science. La partie la plus utile de cet axe pour l’entreprise n’est pas un</w:t>
      </w:r>
      <w:r>
        <w:t xml:space="preserve"> </w:t>
      </w:r>
      <w:r>
        <w:t xml:space="preserve">modèle appris : c’est le tableau descriptif des dépassements engagés en euros, par</w:t>
      </w:r>
      <w:r>
        <w:t xml:space="preserve"> </w:t>
      </w:r>
      <w:r>
        <w:t xml:space="preserve">opération et par poste, calculé en SQL pur. C’est lui qui alimente la page « Alertes</w:t>
      </w:r>
      <w:r>
        <w:t xml:space="preserve"> </w:t>
      </w:r>
      <w:r>
        <w:t xml:space="preserve">marge » de la plateforme, et c’est lui que les contrôleurs de gestion consultent.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2 %,</w:t>
      </w:r>
      <w:r>
        <w:t xml:space="preserve"> </w:t>
      </w:r>
      <w:r>
        <w:t xml:space="preserve">atteint un score F1 de l’ordre de 0,30 à 0,34 en validation croisée stratifiée, contre 0</w:t>
      </w:r>
      <w:r>
        <w:t xml:space="preserve"> </w:t>
      </w:r>
      <w:r>
        <w:t xml:space="preserve">pour la référence majoritaire, qui ne détecte rien du tout. J’ai confronté quatre</w:t>
      </w:r>
      <w:r>
        <w:t xml:space="preserve"> </w:t>
      </w:r>
      <w:r>
        <w:t xml:space="preserve">classifieurs classiques, la régression logistique, le séparateur à vaste marge, l’arbre de</w:t>
      </w:r>
      <w:r>
        <w:t xml:space="preserve"> </w:t>
      </w:r>
      <w:r>
        <w:t xml:space="preserve">décision et la forêt aléatoire ; à 123 observations, leurs écarts de performance ne sont</w:t>
      </w:r>
      <w:r>
        <w:t xml:space="preserve"> </w:t>
      </w:r>
      <w:r>
        <w:t xml:space="preserve">pas significatifs, et le choix s’est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 Un score F1 de 0,3 contre une référence à 0 signifie que le</w:t>
      </w:r>
      <w:r>
        <w:t xml:space="preserve"> </w:t>
      </w:r>
      <w:r>
        <w:t xml:space="preserve">modèle détecte quelque chose là où l’approche naïve ne détecte rien, ce qui est utile pour</w:t>
      </w:r>
      <w:r>
        <w:t xml:space="preserve"> </w:t>
      </w:r>
      <w:r>
        <w:t xml:space="preserve">ordonner une revue de gestion, mais ne permet pas de fonder une décision à lui seul.</w:t>
      </w:r>
    </w:p>
    <w:bookmarkEnd w:id="39"/>
    <w:bookmarkStart w:id="46" w:name="axe-b"/>
    <w:p>
      <w:pPr>
        <w:pStyle w:val="Heading3"/>
      </w:pPr>
      <w:r>
        <w:t xml:space="preserve">2.4.4 Axe B</w:t>
      </w:r>
    </w:p>
    <w:p>
      <w:pPr>
        <w:pStyle w:val="FirstParagraph"/>
      </w:pPr>
      <w:r>
        <w:t xml:space="preserve">C’est l’axe dont les résultats sont les plus solides, et celui qui sert le plus directement</w:t>
      </w:r>
      <w:r>
        <w:t xml:space="preserve"> </w:t>
      </w:r>
      <w:r>
        <w:t xml:space="preserve">la décision budgétaire.</w:t>
      </w:r>
    </w:p>
    <w:p>
      <w:pPr>
        <w:pStyle w:val="BodyText"/>
      </w:pPr>
      <w:r>
        <w:t xml:space="preserve">Le rythme de vente est modélisé sur un panel opération × mois, soit 3 230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la</w:t>
      </w:r>
      <w:r>
        <w:t xml:space="preserve"> </w:t>
      </w:r>
      <w:r>
        <w:t xml:space="preserve">localisation, le produit et le prix pèsent davantage que le contexte macroéconomique.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19 %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Un garde-fou mérite d’être raconté, parce qu’il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 dans les règles de l’art : vérification que les résidus sont</w:t>
      </w:r>
      <w:r>
        <w:t xml:space="preserve"> </w:t>
      </w:r>
      <w:r>
        <w:t xml:space="preserve">assimilables à un bruit blanc d’abord, sélection du modèle par le critère AICc ensuite.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2.4, une détente à 2,5 % fin 2026 redonnerait environ +6 % de rythme en</w:t>
      </w:r>
      <w:r>
        <w:t xml:space="preserve"> </w:t>
      </w:r>
      <w:r>
        <w:t xml:space="preserve">moyenne sur douze mois, tandis qu’une remontée à 3,5 % en retirerait 3 %.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 %" title="" id="41" name="Picture"/>
            <a:graphic>
              <a:graphicData uri="http://schemas.openxmlformats.org/drawingml/2006/picture">
                <pic:pic>
                  <pic:nvPicPr>
                    <pic:cNvPr descr="figures/fig_2_4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Prévision d’intensité de vente à douze mois sous trois scénarios de taux 2026, avec intervalle à 80 %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2.5 sur quatre programmes. Il fournit surtout un indicateur</w:t>
      </w:r>
      <w:r>
        <w:t xml:space="preserve"> </w:t>
      </w:r>
      <w:r>
        <w:t xml:space="preserve">directement utile à la trésorerie : le délai d’atteinte de 90 %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 % du potentiel" title="" id="44" name="Picture"/>
            <a:graphic>
              <a:graphicData uri="http://schemas.openxmlformats.org/drawingml/2006/picture">
                <pic:pic>
                  <pic:nvPicPr>
                    <pic:cNvPr descr="figures/fig_2_5_courbes_logistiqu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– Réservations cumulées et courbes logistiques ajustées sur quatre opérations terminées, avec le repère des 90 %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46"/>
    <w:bookmarkStart w:id="53" w:name="axe-c"/>
    <w:p>
      <w:pPr>
        <w:pStyle w:val="Heading3"/>
      </w:pPr>
      <w:r>
        <w:t xml:space="preserve">2.4.5 Axe C</w:t>
      </w:r>
    </w:p>
    <w:p>
      <w:pPr>
        <w:pStyle w:val="FirstParagraph"/>
      </w:pPr>
      <w:r>
        <w:t xml:space="preserve">Le modèle de prix est volontairement le plus simple qui fonctionne. Il s’agit d’une</w:t>
      </w:r>
      <w:r>
        <w:t xml:space="preserve"> </w:t>
      </w:r>
      <w:r>
        <w:t xml:space="preserve">régression linéaire du logarithme du prix au mètre carré des 5 064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88,6 % de la variance sur</w:t>
      </w:r>
      <w:r>
        <w:t xml:space="preserve"> </w:t>
      </w:r>
      <w:r>
        <w:t xml:space="preserve">l’échantillon test, avec une erreur type d’environ 11 %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+6 %, une prime d’exposition sud, une décote de</w:t>
      </w:r>
      <w:r>
        <w:t xml:space="preserve"> </w:t>
      </w:r>
      <w:r>
        <w:t xml:space="preserve">63 %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2.6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48" name="Picture"/>
            <a:graphic>
              <a:graphicData uri="http://schemas.openxmlformats.org/drawingml/2006/picture">
                <pic:pic>
                  <pic:nvPicPr>
                    <pic:cNvPr descr="figures/fig_2_6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ajusté. Les deux axes disent</w:t>
      </w:r>
      <w:r>
        <w:t xml:space="preserve"> </w:t>
      </w:r>
      <w:r>
        <w:t xml:space="preserve">donc la même chose par deux chemins indépendants, ce qui renforce la confiance que l’on</w:t>
      </w:r>
      <w:r>
        <w:t xml:space="preserve"> </w:t>
      </w:r>
      <w:r>
        <w:t xml:space="preserve">peut accorder à l’un comme à l’autre.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2.7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51" name="Picture"/>
            <a:graphic>
              <a:graphicData uri="http://schemas.openxmlformats.org/drawingml/2006/picture">
                <pic:pic>
                  <pic:nvPicPr>
                    <pic:cNvPr descr="figures/fig_2_7_stock_prix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+5 %, sous un objectif d’accélération de</w:t>
      </w:r>
      <w:r>
        <w:t xml:space="preserve"> </w:t>
      </w:r>
      <w:r>
        <w:t xml:space="preserve">l’écoulement, la demande réagissant au prix avec une élasticité fixée à -1.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 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+8 % d’écoulement déplace le volume</w:t>
      </w:r>
      <w:r>
        <w:t xml:space="preserve"> </w:t>
      </w:r>
      <w:r>
        <w:t xml:space="preserve">attendu de 6,8 à 7,4 lots pour un revenu quasi inchangé, en recul de 0,3 %.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53"/>
    <w:bookmarkStart w:id="54" w:name="signaux-faibles-texte-et-réseau"/>
    <w:p>
      <w:pPr>
        <w:pStyle w:val="Heading3"/>
      </w:pPr>
      <w:r>
        <w:t xml:space="preserve">2.4.6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9 688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90 % des motifs sont enregistrés en « Autres motifs », ce qui rend les désistements de</w:t>
      </w:r>
      <w:r>
        <w:t xml:space="preserve"> </w:t>
      </w:r>
      <w:r>
        <w:t xml:space="preserve">cette agence inanalysables tant que la saisie n’est pas fiabilisée. Ce constat n’est pas un</w:t>
      </w:r>
      <w:r>
        <w:t xml:space="preserve"> </w:t>
      </w:r>
      <w:r>
        <w:t xml:space="preserve">résultat d’analyse au sens strict, mais c’est une information directement actionnable, et</w:t>
      </w:r>
      <w:r>
        <w:t xml:space="preserve"> </w:t>
      </w:r>
      <w:r>
        <w:t xml:space="preserve">elle n’aurait pas été visible sans ce travail.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51,6 % des</w:t>
      </w:r>
      <w:r>
        <w:t xml:space="preserve"> </w:t>
      </w:r>
      <w:r>
        <w:t xml:space="preserve">dossiers attribués, avec des taux de désistement allant du simple au triple : 9 % pour le</w:t>
      </w:r>
      <w:r>
        <w:t xml:space="preserve"> </w:t>
      </w:r>
      <w:r>
        <w:t xml:space="preserve">réseau interne contre 29,6 %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Le résultat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54"/>
    <w:bookmarkEnd w:id="55"/>
    <w:bookmarkStart w:id="62" w:name="plateforme-streamlit"/>
    <w:p>
      <w:pPr>
        <w:pStyle w:val="Heading2"/>
      </w:pPr>
      <w:r>
        <w:t xml:space="preserve">2.5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2.8,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3,11 %.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57" name="Picture"/>
            <a:graphic>
              <a:graphicData uri="http://schemas.openxmlformats.org/drawingml/2006/picture">
                <pic:pic>
                  <pic:nvPicPr>
                    <pic:cNvPr descr="figures/fig_2_8_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2.9,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60" name="Picture"/>
            <a:graphic>
              <a:graphicData uri="http://schemas.openxmlformats.org/drawingml/2006/picture">
                <pic:pic>
                  <pic:nvPicPr>
                    <pic:cNvPr descr="figures/fig_2_9_plateforme_alertes_mar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2.9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vides. Et</w:t>
      </w:r>
      <w:r>
        <w:t xml:space="preserve"> </w:t>
      </w:r>
      <w:r>
        <w:t xml:space="preserve">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62"/>
    <w:bookmarkStart w:id="63" w:name="périmètre-et-limites"/>
    <w:p>
      <w:pPr>
        <w:pStyle w:val="Heading2"/>
      </w:pPr>
      <w:r>
        <w:t xml:space="preserve">2.6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0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0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0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0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opérations. Il est intéressant de noter que la frontière entre les deux</w:t>
      </w:r>
      <w:r>
        <w:t xml:space="preserve"> </w:t>
      </w:r>
      <w:r>
        <w:t xml:space="preserve">activités ressort d’elle-même dès l’analyse exploratoire, ce qui constitue une validation</w:t>
      </w:r>
      <w:r>
        <w:t xml:space="preserve"> </w:t>
      </w:r>
      <w:r>
        <w:t xml:space="preserve">involontaire du choix de périmètre demandé par l’entreprise.</w:t>
      </w:r>
    </w:p>
    <w:bookmarkEnd w:id="63"/>
    <w:bookmarkStart w:id="64" w:name="Xa8e7a5bd3a8e7d44c83c8c60c85d0987f92cedc"/>
    <w:p>
      <w:pPr>
        <w:pStyle w:val="Heading2"/>
      </w:pPr>
      <w:r>
        <w:t xml:space="preserve">2.7 Conclusion du chapitre et conclusion générale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</w:t>
      </w:r>
      <w:r>
        <w:t xml:space="preserve"> </w:t>
      </w:r>
      <w:r>
        <w:t xml:space="preserve">donnée 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rejoint la thèse que</w:t>
      </w:r>
      <w:r>
        <w:t xml:space="preserve"> </w:t>
      </w:r>
      <w:r>
        <w:t xml:space="preserve">j’avançais en fin de mémoire de mi-parcours : la structure de la donnée commande ce que la</w:t>
      </w:r>
      <w:r>
        <w:t xml:space="preserve"> </w:t>
      </w:r>
      <w:r>
        <w:t xml:space="preserve">modélisation peut en tirer.</w:t>
      </w:r>
    </w:p>
    <w:p>
      <w:pPr>
        <w:pStyle w:val="BodyText"/>
      </w:pPr>
      <w:r>
        <w:t xml:space="preserve">Les deux chapitres de ce mémoire se répondent précisément sur ce point. Le premier raconte</w:t>
      </w:r>
      <w:r>
        <w:t xml:space="preserve"> </w:t>
      </w:r>
      <w:r>
        <w:t xml:space="preserve">la reconstitution d’un référentiel client dans un nouvel ERP, avec ses clés d’unicité, ses</w:t>
      </w:r>
      <w:r>
        <w:t xml:space="preserve"> </w:t>
      </w:r>
      <w:r>
        <w:t xml:space="preserve">contournements de format et ses arbitrages documentés. Le second raconte ce que l’on peut</w:t>
      </w:r>
      <w:r>
        <w:t xml:space="preserve"> </w:t>
      </w:r>
      <w:r>
        <w:t xml:space="preserve">faire d’un patrimoine de données une fois qu’il est fiable, et ce que l’on ne peut pas en</w:t>
      </w:r>
      <w:r>
        <w:t xml:space="preserve"> </w:t>
      </w:r>
      <w:r>
        <w:t xml:space="preserve">faire lorsqu’il lui manque une dimension. Le lien entre les deux n’est pas rhétorique : les</w:t>
      </w:r>
      <w:r>
        <w:t xml:space="preserve"> </w:t>
      </w:r>
      <w:r>
        <w:t xml:space="preserve">recommandations qui terminent le chapitre 2, historiser les exports mensuels et fiabiliser</w:t>
      </w:r>
      <w:r>
        <w:t xml:space="preserve"> </w:t>
      </w:r>
      <w:r>
        <w:t xml:space="preserve">la saisie des motifs de désistement, sont exactement de la même nature que le travail</w:t>
      </w:r>
      <w:r>
        <w:t xml:space="preserve"> </w:t>
      </w:r>
      <w:r>
        <w:t xml:space="preserve">décrit au chapitre 1. Ce sont des travaux de structure, faits pour rendre possible une</w:t>
      </w:r>
      <w:r>
        <w:t xml:space="preserve"> </w:t>
      </w:r>
      <w:r>
        <w:t xml:space="preserve">analyse à venir.</w:t>
      </w:r>
    </w:p>
    <w:p>
      <w:pPr>
        <w:pStyle w:val="BodyText"/>
      </w:pPr>
      <w:r>
        <w:t xml:space="preserve">Cette année d’alternance m’aura donc fait parcourir un cycle complet. Le premier semestre a</w:t>
      </w:r>
      <w:r>
        <w:t xml:space="preserve"> </w:t>
      </w:r>
      <w:r>
        <w:t xml:space="preserve">été celui de l’ingénierie des données, avec la migration vers SPO, ses dépendances</w:t>
      </w:r>
      <w:r>
        <w:t xml:space="preserve"> </w:t>
      </w:r>
      <w:r>
        <w:t xml:space="preserve">hiérarchiques, ses identifiants dynamiques et sa stratégie de déploiement en coquilles</w:t>
      </w:r>
      <w:r>
        <w:t xml:space="preserve"> </w:t>
      </w:r>
      <w:r>
        <w:t xml:space="preserve">vides. La reprise des tiers, exposée au chapitre 1, en a été le prolongement direct et,</w:t>
      </w:r>
      <w:r>
        <w:t xml:space="preserve"> </w:t>
      </w:r>
      <w:r>
        <w:t xml:space="preserve">d’une certaine manière, l’aboutissement, puisqu’elle a achevé de constituer le socle</w:t>
      </w:r>
      <w:r>
        <w:t xml:space="preserve"> </w:t>
      </w:r>
      <w:r>
        <w:t xml:space="preserve">commercial du nouvel outil. Le second semestre a été celui de la valorisation, avec un</w:t>
      </w:r>
      <w:r>
        <w:t xml:space="preserve"> </w:t>
      </w:r>
      <w:r>
        <w:t xml:space="preserve">projet de Data Science mené de bout en bout, de la compréhension des exports jusqu’à une</w:t>
      </w:r>
      <w:r>
        <w:t xml:space="preserve"> </w:t>
      </w:r>
      <w:r>
        <w:t xml:space="preserve">application utilisée par la direction financière.</w:t>
      </w:r>
    </w:p>
    <w:p>
      <w:pPr>
        <w:pStyle w:val="BodyText"/>
      </w:pPr>
      <w:r>
        <w:t xml:space="preserve">Ce que je retire de ce parcours tient en peu de mots. Un projet de données ne se joue pas</w:t>
      </w:r>
      <w:r>
        <w:t xml:space="preserve"> </w:t>
      </w:r>
      <w:r>
        <w:t xml:space="preserve">au moment du choix de l’algorithme mais bien avant, lorsqu’on décide ce qu’est un client,</w:t>
      </w:r>
      <w:r>
        <w:t xml:space="preserve"> </w:t>
      </w:r>
      <w:r>
        <w:t xml:space="preserve">ce qu’est une marge, ou ce que contient réellement un fichier dont le nom annonce autre</w:t>
      </w:r>
      <w:r>
        <w:t xml:space="preserve"> </w:t>
      </w:r>
      <w:r>
        <w:t xml:space="preserve">chose. Ce sont des décisions modestes en apparence, invisibles dans le résultat final, et</w:t>
      </w:r>
      <w:r>
        <w:t xml:space="preserve"> </w:t>
      </w:r>
      <w:r>
        <w:t xml:space="preserve">pourtant ce sont elles qui déterminent si le résultat vaut quelque chose. Le métier de</w:t>
      </w:r>
      <w:r>
        <w:t xml:space="preserve"> </w:t>
      </w:r>
      <w:r>
        <w:t xml:space="preserve">gestionnaire d’information, tel que je l’ai pratiqué cette année, consiste largement à</w:t>
      </w:r>
      <w:r>
        <w:t xml:space="preserve"> </w:t>
      </w:r>
      <w:r>
        <w:t xml:space="preserve">prendre ces décisions-là, à les écrire, et à les rendre vérifiables par d’autres.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et le Copilote Financier ne deviendra un véritable outil de</w:t>
      </w:r>
      <w:r>
        <w:t xml:space="preserve"> </w:t>
      </w:r>
      <w:r>
        <w:t xml:space="preserve">suivi que lorsque les exports auront été historisés sur une durée suffisante. Mais les deux</w:t>
      </w:r>
      <w:r>
        <w:t xml:space="preserve"> </w:t>
      </w:r>
      <w:r>
        <w:t xml:space="preserve">chantiers avancent désormais dans le même sens, et c’est cette convergence entre la</w:t>
      </w:r>
      <w:r>
        <w:t xml:space="preserve"> </w:t>
      </w:r>
      <w:r>
        <w:t xml:space="preserve">structuration technique des données et leur valorisation statistique qui aura constitué le</w:t>
      </w:r>
      <w:r>
        <w:t xml:space="preserve"> </w:t>
      </w:r>
      <w:r>
        <w:t xml:space="preserve">fil conducteur de mon année de Master 2.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</dc:title>
  <dc:creator>Yasmina Saoud</dc:creator>
  <dc:language>fr</dc:language>
  <cp:keywords/>
  <dcterms:created xsi:type="dcterms:W3CDTF">2026-08-17T21:35:45Z</dcterms:created>
  <dcterms:modified xsi:type="dcterms:W3CDTF">2026-08-17T21:35:45Z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1</vt:lpwstr>
  </property>
  <property fmtid="{D5CDD505-2E9C-101B-9397-08002B2CF9AE}" pid="3" name="date">
    <vt:lpwstr/>
  </property>
  <property fmtid="{D5CDD505-2E9C-101B-9397-08002B2CF9AE}" pid="4" name="output">
    <vt:lpwstr/>
  </property>
</Properties>
</file>