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1.png" ContentType="image/png"/>
  <Override PartName="/word/media/rId36.png" ContentType="image/png"/>
  <Override PartName="/word/media/rId40.png" ContentType="image/png"/>
  <Override PartName="/word/media/rId43.png" ContentType="image/png"/>
  <Override PartName="/word/media/rId47.png" ContentType="image/png"/>
  <Override PartName="/word/media/rId50.png" ContentType="image/png"/>
  <Override PartName="/word/media/rId56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</w:t>
      </w:r>
      <w:r>
        <w:t xml:space="preserve"> </w:t>
      </w:r>
      <w:r>
        <w:t xml:space="preserve">Copilote</w:t>
      </w:r>
      <w:r>
        <w:t xml:space="preserve"> </w:t>
      </w:r>
      <w:r>
        <w:t xml:space="preserve">Financier</w:t>
      </w:r>
    </w:p>
    <w:p>
      <w:pPr>
        <w:pStyle w:val="Author"/>
      </w:pPr>
      <w:r>
        <w:t xml:space="preserve">Yasmina</w:t>
      </w:r>
      <w:r>
        <w:t xml:space="preserve"> </w:t>
      </w:r>
      <w:r>
        <w:t xml:space="preserve">Saoud</w:t>
      </w:r>
    </w:p>
    <w:bookmarkStart w:id="65" w:name="le-copilote-financier"/>
    <w:p>
      <w:pPr>
        <w:pStyle w:val="Heading1"/>
      </w:pPr>
      <w:r>
        <w:t xml:space="preserve">2 Le Copilote Financier</w:t>
      </w:r>
    </w:p>
    <w:p>
      <w:pPr>
        <w:pStyle w:val="FirstParagraph"/>
      </w:pPr>
      <w:r>
        <w:rPr>
          <w:bCs/>
          <w:b/>
        </w:rPr>
        <w:t xml:space="preserve">Sommaire</w:t>
      </w:r>
    </w:p>
    <w:p>
      <w:pPr>
        <w:numPr>
          <w:ilvl w:val="0"/>
          <w:numId w:val="1001"/>
        </w:numPr>
        <w:pStyle w:val="Compact"/>
      </w:pPr>
      <w:r>
        <w:t xml:space="preserve">2.1 Contexte</w:t>
      </w:r>
    </w:p>
    <w:p>
      <w:pPr>
        <w:numPr>
          <w:ilvl w:val="1"/>
          <w:numId w:val="1002"/>
        </w:numPr>
        <w:pStyle w:val="Compact"/>
      </w:pPr>
      <w:r>
        <w:t xml:space="preserve">2.1.1 Problème métier</w:t>
      </w:r>
    </w:p>
    <w:p>
      <w:pPr>
        <w:numPr>
          <w:ilvl w:val="2"/>
          <w:numId w:val="1003"/>
        </w:numPr>
        <w:pStyle w:val="Compact"/>
      </w:pPr>
      <w:r>
        <w:t xml:space="preserve">2.1.1.1 Besoins par axe et exigences non fonctionnelles</w:t>
      </w:r>
    </w:p>
    <w:p>
      <w:pPr>
        <w:numPr>
          <w:ilvl w:val="1"/>
          <w:numId w:val="1002"/>
        </w:numPr>
        <w:pStyle w:val="Compact"/>
      </w:pPr>
      <w:r>
        <w:t xml:space="preserve">2.1.2 Objectifs du dashboard</w:t>
      </w:r>
    </w:p>
    <w:p>
      <w:pPr>
        <w:numPr>
          <w:ilvl w:val="0"/>
          <w:numId w:val="1001"/>
        </w:numPr>
        <w:pStyle w:val="Compact"/>
      </w:pPr>
      <w:r>
        <w:t xml:space="preserve">2.2 Données disponibles</w:t>
      </w:r>
    </w:p>
    <w:p>
      <w:pPr>
        <w:numPr>
          <w:ilvl w:val="1"/>
          <w:numId w:val="1004"/>
        </w:numPr>
        <w:pStyle w:val="Compact"/>
      </w:pPr>
      <w:r>
        <w:t xml:space="preserve">2.2.1 Données internes</w:t>
      </w:r>
    </w:p>
    <w:p>
      <w:pPr>
        <w:numPr>
          <w:ilvl w:val="1"/>
          <w:numId w:val="1004"/>
        </w:numPr>
        <w:pStyle w:val="Compact"/>
      </w:pPr>
      <w:r>
        <w:t xml:space="preserve">2.2.2 Données externes</w:t>
      </w:r>
    </w:p>
    <w:p>
      <w:pPr>
        <w:numPr>
          <w:ilvl w:val="0"/>
          <w:numId w:val="1001"/>
        </w:numPr>
        <w:pStyle w:val="Compact"/>
      </w:pPr>
      <w:r>
        <w:t xml:space="preserve">2.3 Architecture technique</w:t>
      </w:r>
    </w:p>
    <w:p>
      <w:pPr>
        <w:numPr>
          <w:ilvl w:val="0"/>
          <w:numId w:val="1001"/>
        </w:numPr>
        <w:pStyle w:val="Compact"/>
      </w:pPr>
      <w:r>
        <w:t xml:space="preserve">2.4 Notebooks et résultats</w:t>
      </w:r>
    </w:p>
    <w:p>
      <w:pPr>
        <w:numPr>
          <w:ilvl w:val="1"/>
          <w:numId w:val="1005"/>
        </w:numPr>
        <w:pStyle w:val="Compact"/>
      </w:pPr>
      <w:r>
        <w:t xml:space="preserve">2.4.1 Exploration et nettoyage des données brutes</w:t>
      </w:r>
    </w:p>
    <w:p>
      <w:pPr>
        <w:numPr>
          <w:ilvl w:val="1"/>
          <w:numId w:val="1005"/>
        </w:numPr>
        <w:pStyle w:val="Compact"/>
      </w:pPr>
      <w:r>
        <w:t xml:space="preserve">2.4.2 SQL et Spark</w:t>
      </w:r>
    </w:p>
    <w:p>
      <w:pPr>
        <w:numPr>
          <w:ilvl w:val="1"/>
          <w:numId w:val="1005"/>
        </w:numPr>
        <w:pStyle w:val="Compact"/>
      </w:pPr>
      <w:r>
        <w:t xml:space="preserve">2.4.3 Axe A</w:t>
      </w:r>
    </w:p>
    <w:p>
      <w:pPr>
        <w:numPr>
          <w:ilvl w:val="1"/>
          <w:numId w:val="1005"/>
        </w:numPr>
        <w:pStyle w:val="Compact"/>
      </w:pPr>
      <w:r>
        <w:t xml:space="preserve">2.4.4 Axe B</w:t>
      </w:r>
    </w:p>
    <w:p>
      <w:pPr>
        <w:numPr>
          <w:ilvl w:val="1"/>
          <w:numId w:val="1005"/>
        </w:numPr>
        <w:pStyle w:val="Compact"/>
      </w:pPr>
      <w:r>
        <w:t xml:space="preserve">2.4.5 Axe C</w:t>
      </w:r>
    </w:p>
    <w:p>
      <w:pPr>
        <w:numPr>
          <w:ilvl w:val="1"/>
          <w:numId w:val="1005"/>
        </w:numPr>
        <w:pStyle w:val="Compact"/>
      </w:pPr>
      <w:r>
        <w:t xml:space="preserve">2.4.6 Signaux faibles (texte et réseau)</w:t>
      </w:r>
    </w:p>
    <w:p>
      <w:pPr>
        <w:numPr>
          <w:ilvl w:val="0"/>
          <w:numId w:val="1001"/>
        </w:numPr>
        <w:pStyle w:val="Compact"/>
      </w:pPr>
      <w:r>
        <w:t xml:space="preserve">2.5 Plateforme Streamlit</w:t>
      </w:r>
    </w:p>
    <w:p>
      <w:pPr>
        <w:numPr>
          <w:ilvl w:val="0"/>
          <w:numId w:val="1001"/>
        </w:numPr>
        <w:pStyle w:val="Compact"/>
      </w:pPr>
      <w:r>
        <w:t xml:space="preserve">2.6 Périmètre et limites</w:t>
      </w:r>
    </w:p>
    <w:p>
      <w:pPr>
        <w:numPr>
          <w:ilvl w:val="0"/>
          <w:numId w:val="1001"/>
        </w:numPr>
        <w:pStyle w:val="Compact"/>
      </w:pPr>
      <w:r>
        <w:t xml:space="preserve">2.7 Conclusion du chapitre et conclusion générale</w:t>
      </w:r>
    </w:p>
    <w:p>
      <w:pPr>
        <w:pStyle w:val="FirstParagraph"/>
      </w:pPr>
      <w:r>
        <w:t xml:space="preserve">Ce chapitre présente le projet de Data Science que j’annonçais en fin de mémoire de</w:t>
      </w:r>
      <w:r>
        <w:t xml:space="preserve"> </w:t>
      </w:r>
      <w:r>
        <w:t xml:space="preserve">mi-parcours : le « Copilote Financier », un outil d’aide à la décision construit sur les</w:t>
      </w:r>
      <w:r>
        <w:t xml:space="preserve"> </w:t>
      </w:r>
      <w:r>
        <w:t xml:space="preserve">données de gestion du groupe Angelotti pour sa direction financière. J’y expose d’abord le</w:t>
      </w:r>
      <w:r>
        <w:t xml:space="preserve"> </w:t>
      </w:r>
      <w:r>
        <w:t xml:space="preserve">besoin métier tel qu’il m’a été formulé, puis les données dont je disposais réellement,</w:t>
      </w:r>
      <w:r>
        <w:t xml:space="preserve"> </w:t>
      </w:r>
      <w:r>
        <w:t xml:space="preserve">l’architecture retenue pour les rendre exploitables, les trois axes d’analyse et leurs</w:t>
      </w:r>
      <w:r>
        <w:t xml:space="preserve"> </w:t>
      </w:r>
      <w:r>
        <w:t xml:space="preserve">résultats, la plateforme qui les restitue aux contrôleurs de gestion, et enfin les limites</w:t>
      </w:r>
      <w:r>
        <w:t xml:space="preserve"> </w:t>
      </w:r>
      <w:r>
        <w:t xml:space="preserve">que je considère comme faisant partie du livrable.</w:t>
      </w:r>
    </w:p>
    <w:p>
      <w:pPr>
        <w:pStyle w:val="BodyText"/>
      </w:pPr>
      <w:r>
        <w:t xml:space="preserve">Une décision a orienté tout le projet, et il vaut mieux l’énoncer d’emblée parce qu’elle</w:t>
      </w:r>
      <w:r>
        <w:t xml:space="preserve"> </w:t>
      </w:r>
      <w:r>
        <w:t xml:space="preserve">explique la forme de ce qui suit. La taille des données disponibles, 267 opérations et</w:t>
      </w:r>
      <w:r>
        <w:t xml:space="preserve"> </w:t>
      </w:r>
      <w:r>
        <w:t xml:space="preserve">quatre exports totalisant 32 Mo, ne justifie pas un empilement de modèles. J’ai donc</w:t>
      </w:r>
      <w:r>
        <w:t xml:space="preserve"> </w:t>
      </w:r>
      <w:r>
        <w:t xml:space="preserve">retenu un petit nombre de méthodes simples, chacune choisie pour une question précise et</w:t>
      </w:r>
      <w:r>
        <w:t xml:space="preserve"> </w:t>
      </w:r>
      <w:r>
        <w:t xml:space="preserve">validée sérieusement, plutôt qu’un catalogue d’algorithmes dont aucun n’aurait pu être</w:t>
      </w:r>
      <w:r>
        <w:t xml:space="preserve"> </w:t>
      </w:r>
      <w:r>
        <w:t xml:space="preserve">correctement évalué à cette échelle.</w:t>
      </w:r>
    </w:p>
    <w:bookmarkStart w:id="23" w:name="contexte"/>
    <w:p>
      <w:pPr>
        <w:pStyle w:val="Heading2"/>
      </w:pPr>
      <w:r>
        <w:t xml:space="preserve">2.1 Contexte</w:t>
      </w:r>
    </w:p>
    <w:p>
      <w:pPr>
        <w:pStyle w:val="FirstParagraph"/>
      </w:pPr>
      <w:r>
        <w:t xml:space="preserve">Le groupe Angelotti conçoit, finance et commercialise des programmes immobiliers en</w:t>
      </w:r>
      <w:r>
        <w:t xml:space="preserve"> </w:t>
      </w:r>
      <w:r>
        <w:t xml:space="preserve">Occitanie et en région PACA. Chaque opération de promotion y est portée par une société</w:t>
      </w:r>
      <w:r>
        <w:t xml:space="preserve"> </w:t>
      </w:r>
      <w:r>
        <w:t xml:space="preserve">dédiée et vit sur un cycle long : un budget est arrêté au moment de l’engagement, puis le</w:t>
      </w:r>
      <w:r>
        <w:t xml:space="preserve"> </w:t>
      </w:r>
      <w:r>
        <w:t xml:space="preserve">chantier et la commercialisation le font dériver au fil des mois. Les appels d’offres</w:t>
      </w:r>
      <w:r>
        <w:t xml:space="preserve"> </w:t>
      </w:r>
      <w:r>
        <w:t xml:space="preserve">reviennent plus chers qu’anticipé, des acquéreurs se désistent, le rythme de vente</w:t>
      </w:r>
      <w:r>
        <w:t xml:space="preserve"> </w:t>
      </w:r>
      <w:r>
        <w:t xml:space="preserve">ralentit sous l’effet de la conjoncture.</w:t>
      </w:r>
    </w:p>
    <w:p>
      <w:pPr>
        <w:pStyle w:val="BodyText"/>
      </w:pPr>
      <w:r>
        <w:t xml:space="preserve">La direction financière suit ces dérives. Néanmoins, elle les suit opération par opération,</w:t>
      </w:r>
      <w:r>
        <w:t xml:space="preserve"> </w:t>
      </w:r>
      <w:r>
        <w:t xml:space="preserve">sur tableurs, sans vision transverse. Chaque contrôleur de gestion connaît très bien les</w:t>
      </w:r>
      <w:r>
        <w:t xml:space="preserve"> </w:t>
      </w:r>
      <w:r>
        <w:t xml:space="preserve">dossiers dont il a la charge ; personne ne dispose d’une vue d’ensemble permettant de dire,</w:t>
      </w:r>
      <w:r>
        <w:t xml:space="preserve"> </w:t>
      </w:r>
      <w:r>
        <w:t xml:space="preserve">à un instant donné, quelles opérations méritent l’attention en priorité. C’est ce manque</w:t>
      </w:r>
      <w:r>
        <w:t xml:space="preserve"> </w:t>
      </w:r>
      <w:r>
        <w:t xml:space="preserve">qui a motivé le projet.</w:t>
      </w:r>
    </w:p>
    <w:bookmarkStart w:id="21" w:name="problème-métier"/>
    <w:p>
      <w:pPr>
        <w:pStyle w:val="Heading3"/>
      </w:pPr>
      <w:r>
        <w:t xml:space="preserve">2.1.1 Problème métier</w:t>
      </w:r>
    </w:p>
    <w:p>
      <w:pPr>
        <w:pStyle w:val="FirstParagraph"/>
      </w:pPr>
      <w:r>
        <w:t xml:space="preserve">En échangeant avec la direction financière, j’ai identifié trois questions qui structurent</w:t>
      </w:r>
      <w:r>
        <w:t xml:space="preserve"> </w:t>
      </w:r>
      <w:r>
        <w:t xml:space="preserve">les revues de gestion et auxquelles les tableurs actuels ne répondent pas.</w:t>
      </w:r>
    </w:p>
    <w:p>
      <w:pPr>
        <w:pStyle w:val="BodyText"/>
      </w:pPr>
      <w:r>
        <w:t xml:space="preserve">La première porte sur la marge. Quelles opérations examiner en priorité, parce que leur</w:t>
      </w:r>
      <w:r>
        <w:t xml:space="preserve"> </w:t>
      </w:r>
      <w:r>
        <w:t xml:space="preserve">marge d’engagement dérive, et sur quels postes cette dérive se joue-t-elle, pour combien</w:t>
      </w:r>
      <w:r>
        <w:t xml:space="preserve"> </w:t>
      </w:r>
      <w:r>
        <w:t xml:space="preserve">d’euros ? La question suppose de comparer des dizaines d’opérations entre elles, ce</w:t>
      </w:r>
      <w:r>
        <w:t xml:space="preserve"> </w:t>
      </w:r>
      <w:r>
        <w:t xml:space="preserve">qu’aucun tableur individuel ne permet.</w:t>
      </w:r>
    </w:p>
    <w:p>
      <w:pPr>
        <w:pStyle w:val="BodyText"/>
      </w:pPr>
      <w:r>
        <w:t xml:space="preserve">La deuxième porte sur le rythme de vente. Quel volume de réservations budgéter pour 2026 ?</w:t>
      </w:r>
      <w:r>
        <w:t xml:space="preserve"> </w:t>
      </w:r>
      <w:r>
        <w:t xml:space="preserve">La période récente a montré à quel point la demande est sensible au coût du crédit : le</w:t>
      </w:r>
      <w:r>
        <w:t xml:space="preserve"> </w:t>
      </w:r>
      <w:r>
        <w:t xml:space="preserve">taux moyen des crédits habitat est passé d’environ 1,1 % à un pic de 3,6 % fin 2023, avant</w:t>
      </w:r>
      <w:r>
        <w:t xml:space="preserve"> </w:t>
      </w:r>
      <w:r>
        <w:t xml:space="preserve">de refluer vers 3,1 % mi-2026, et le rythme du groupe est tombé d’environ 150 à moins de</w:t>
      </w:r>
      <w:r>
        <w:t xml:space="preserve"> </w:t>
      </w:r>
      <w:r>
        <w:t xml:space="preserve">115 réservations par mois en 2023. Reste à savoir ce qui, dans cette chute, revient à la</w:t>
      </w:r>
      <w:r>
        <w:t xml:space="preserve"> </w:t>
      </w:r>
      <w:r>
        <w:t xml:space="preserve">conjoncture et ce qui revient aux programmes eux-mêmes.</w:t>
      </w:r>
    </w:p>
    <w:p>
      <w:pPr>
        <w:pStyle w:val="BodyText"/>
      </w:pPr>
      <w:r>
        <w:t xml:space="preserve">La troisième porte sur le prix. Quels lots du stock faut-il repricer ? La question n’est</w:t>
      </w:r>
      <w:r>
        <w:t xml:space="preserve"> </w:t>
      </w:r>
      <w:r>
        <w:t xml:space="preserve">pas théorique, puisque 45 % des 2 157 désistements enregistrés ont pour motif un problème</w:t>
      </w:r>
      <w:r>
        <w:t xml:space="preserve"> </w:t>
      </w:r>
      <w:r>
        <w:t xml:space="preserve">de financement ou un refus de prêt, et que les remises sont aujourd’hui accordées au cas</w:t>
      </w:r>
      <w:r>
        <w:t xml:space="preserve"> </w:t>
      </w:r>
      <w:r>
        <w:t xml:space="preserve">par cas, sans grille ni justification chiffrée.</w:t>
      </w:r>
    </w:p>
    <w:p>
      <w:pPr>
        <w:pStyle w:val="BodyText"/>
      </w:pPr>
      <w:r>
        <w:t xml:space="preserve">Il faut souligner ce que ces trois questions ont en commun. Face à des besoins de ce type,</w:t>
      </w:r>
      <w:r>
        <w:t xml:space="preserve"> </w:t>
      </w:r>
      <w:r>
        <w:t xml:space="preserve">la tentation serait de partir sur un projet d’apprentissage automatique de grande ampleur.</w:t>
      </w:r>
      <w:r>
        <w:t xml:space="preserve"> </w:t>
      </w:r>
      <w:r>
        <w:t xml:space="preserve">C’est pourtant un problème de contrôle de gestion outillé par la donnée, et rien d’autre. Le matériau disponible se résume à 267 opérations et quatre exports Excel, soit</w:t>
      </w:r>
      <w:r>
        <w:t xml:space="preserve"> </w:t>
      </w:r>
      <w:r>
        <w:t xml:space="preserve">une photographie à date. Cette lucidité initiale sur la nature du problème a évité, je</w:t>
      </w:r>
      <w:r>
        <w:t xml:space="preserve"> </w:t>
      </w:r>
      <w:r>
        <w:t xml:space="preserve">crois, une bonne partie des erreurs que j’aurais pu commettre en cherchant à appliquer des</w:t>
      </w:r>
      <w:r>
        <w:t xml:space="preserve"> </w:t>
      </w:r>
      <w:r>
        <w:t xml:space="preserve">méthodes disproportionnées.</w:t>
      </w:r>
    </w:p>
    <w:bookmarkStart w:id="20" w:name="Xcacbc28e4963aea1e7cfa59f0a47a06bee732ec"/>
    <w:p>
      <w:pPr>
        <w:pStyle w:val="Heading4"/>
      </w:pPr>
      <w:r>
        <w:t xml:space="preserve">2.1.1.1 Besoins par axe et exigences non fonctionnelles</w:t>
      </w:r>
    </w:p>
    <w:p>
      <w:pPr>
        <w:pStyle w:val="FirstParagraph"/>
      </w:pPr>
      <w:r>
        <w:t xml:space="preserve">J’ai formalisé ces besoins en trois axes de travail, complétés d’un axe transverse 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Axe A, risque de marge</w:t>
      </w:r>
      <w:r>
        <w:t xml:space="preserve"> </w:t>
      </w:r>
      <w:r>
        <w:t xml:space="preserve">: un score permettant de trier les opérations par risque de</w:t>
      </w:r>
      <w:r>
        <w:t xml:space="preserve"> </w:t>
      </w:r>
      <w:r>
        <w:t xml:space="preserve">dérive, le détail en euros des postes déjà en dépassement, et la possibilité de</w:t>
      </w:r>
      <w:r>
        <w:t xml:space="preserve"> </w:t>
      </w:r>
      <w:r>
        <w:t xml:space="preserve">comparer une opération à ses semblables.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Axe B, vitesse d’écoulement</w:t>
      </w:r>
      <w:r>
        <w:t xml:space="preserve"> </w:t>
      </w:r>
      <w:r>
        <w:t xml:space="preserve">: quantifier l’effet du taux d’intérêt sur le rythme de</w:t>
      </w:r>
      <w:r>
        <w:t xml:space="preserve"> </w:t>
      </w:r>
      <w:r>
        <w:t xml:space="preserve">réservation, en le séparant de l’effet propre à chaque programme, et simuler des</w:t>
      </w:r>
      <w:r>
        <w:t xml:space="preserve"> </w:t>
      </w:r>
      <w:r>
        <w:t xml:space="preserve">scénarios de taux pour 2026.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Axe C, prix</w:t>
      </w:r>
      <w:r>
        <w:t xml:space="preserve"> </w:t>
      </w:r>
      <w:r>
        <w:t xml:space="preserve">: estimer un prix de marché par lot, signaler le stock qui s’en écarte,</w:t>
      </w:r>
      <w:r>
        <w:t xml:space="preserve"> </w:t>
      </w:r>
      <w:r>
        <w:t xml:space="preserve">et proposer une règle de remise argumentée.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Axe transverse</w:t>
      </w:r>
      <w:r>
        <w:t xml:space="preserve"> </w:t>
      </w:r>
      <w:r>
        <w:t xml:space="preserve">: tirer des signaux simples des commentaires de vente et de la</w:t>
      </w:r>
      <w:r>
        <w:t xml:space="preserve"> </w:t>
      </w:r>
      <w:r>
        <w:t xml:space="preserve">structure du réseau de vendeurs.</w:t>
      </w:r>
    </w:p>
    <w:p>
      <w:pPr>
        <w:pStyle w:val="FirstParagraph"/>
      </w:pPr>
      <w:r>
        <w:t xml:space="preserve">Quatre exigences non fonctionnelles ont cadré le travail, et je les ai posées avant de</w:t>
      </w:r>
      <w:r>
        <w:t xml:space="preserve"> </w:t>
      </w:r>
      <w:r>
        <w:t xml:space="preserve">commencer plutôt qu’après coup. La</w:t>
      </w:r>
      <w:r>
        <w:t xml:space="preserve"> </w:t>
      </w:r>
      <w:r>
        <w:rPr>
          <w:bCs/>
          <w:b/>
        </w:rPr>
        <w:t xml:space="preserve">reproductibilité</w:t>
      </w:r>
      <w:r>
        <w:t xml:space="preserve"> </w:t>
      </w:r>
      <w:r>
        <w:t xml:space="preserve">d’abord : tout doit se reconstruire</w:t>
      </w:r>
      <w:r>
        <w:t xml:space="preserve"> </w:t>
      </w:r>
      <w:r>
        <w:t xml:space="preserve">depuis les exports bruts par un seul script, sans étape manuelle intermédiaire.</w:t>
      </w:r>
      <w:r>
        <w:t xml:space="preserve"> </w:t>
      </w:r>
      <w:r>
        <w:t xml:space="preserve">L’</w:t>
      </w:r>
      <w:r>
        <w:rPr>
          <w:bCs/>
          <w:b/>
        </w:rPr>
        <w:t xml:space="preserve">interprétabilité</w:t>
      </w:r>
      <w:r>
        <w:t xml:space="preserve"> </w:t>
      </w:r>
      <w:r>
        <w:t xml:space="preserve">ensuite : chaque score doit être accompagné des variables qui le</w:t>
      </w:r>
      <w:r>
        <w:t xml:space="preserve"> </w:t>
      </w:r>
      <w:r>
        <w:t xml:space="preserve">déterminent, faute de quoi un contrôleur de gestion n’a aucune raison de lui faire</w:t>
      </w:r>
      <w:r>
        <w:t xml:space="preserve"> </w:t>
      </w:r>
      <w:r>
        <w:t xml:space="preserve">confiance. La</w:t>
      </w:r>
      <w:r>
        <w:t xml:space="preserve"> </w:t>
      </w:r>
      <w:r>
        <w:rPr>
          <w:bCs/>
          <w:b/>
        </w:rPr>
        <w:t xml:space="preserve">confidentialité</w:t>
      </w:r>
      <w:r>
        <w:t xml:space="preserve"> </w:t>
      </w:r>
      <w:r>
        <w:t xml:space="preserve">également : aucune donnée nominative de client n’est</w:t>
      </w:r>
      <w:r>
        <w:t xml:space="preserve"> </w:t>
      </w:r>
      <w:r>
        <w:t xml:space="preserve">affichée ni modélisée. L’</w:t>
      </w:r>
      <w:r>
        <w:rPr>
          <w:bCs/>
          <w:b/>
        </w:rPr>
        <w:t xml:space="preserve">acceptation d’un petit échantillon</w:t>
      </w:r>
      <w:r>
        <w:t xml:space="preserve"> </w:t>
      </w:r>
      <w:r>
        <w:t xml:space="preserve">enfin : à cette taille, des</w:t>
      </w:r>
      <w:r>
        <w:t xml:space="preserve"> </w:t>
      </w:r>
      <w:r>
        <w:t xml:space="preserve">modèles simples validés en validation croisée valent mieux que des architectures complexes</w:t>
      </w:r>
      <w:r>
        <w:t xml:space="preserve"> </w:t>
      </w:r>
      <w:r>
        <w:t xml:space="preserve">dont on ne saurait pas mesurer la performance réelle.</w:t>
      </w:r>
    </w:p>
    <w:bookmarkEnd w:id="20"/>
    <w:bookmarkEnd w:id="21"/>
    <w:bookmarkStart w:id="22" w:name="objectifs-du-dashboard"/>
    <w:p>
      <w:pPr>
        <w:pStyle w:val="Heading3"/>
      </w:pPr>
      <w:r>
        <w:t xml:space="preserve">2.1.2 Objectifs du dashboard</w:t>
      </w:r>
    </w:p>
    <w:p>
      <w:pPr>
        <w:pStyle w:val="FirstParagraph"/>
      </w:pPr>
      <w:r>
        <w:t xml:space="preserve">Le livrable final est une application web destinée à la direction financière, dont la</w:t>
      </w:r>
      <w:r>
        <w:t xml:space="preserve"> </w:t>
      </w:r>
      <w:r>
        <w:t xml:space="preserve">fonction est de traduire les modèles en décisions. C’est sur ce point qu’un retour de</w:t>
      </w:r>
      <w:r>
        <w:t xml:space="preserve"> </w:t>
      </w:r>
      <w:r>
        <w:t xml:space="preserve">l’entreprise, reçu en cours de projet, a imposé une clarification utile.</w:t>
      </w:r>
    </w:p>
    <w:p>
      <w:pPr>
        <w:pStyle w:val="BodyText"/>
      </w:pPr>
      <w:r>
        <w:t xml:space="preserve">La première version de l’interface était trop marquée par le vocabulaire de la</w:t>
      </w:r>
      <w:r>
        <w:t xml:space="preserve"> </w:t>
      </w:r>
      <w:r>
        <w:t xml:space="preserve">modélisation. Les écrans parlaient de scores, de probabilités et d’intervalles, là où les</w:t>
      </w:r>
      <w:r>
        <w:t xml:space="preserve"> </w:t>
      </w:r>
      <w:r>
        <w:t xml:space="preserve">utilisateurs attendaient des niveaux d’alerte, des dépassements en euros et un prix de</w:t>
      </w:r>
      <w:r>
        <w:t xml:space="preserve"> </w:t>
      </w:r>
      <w:r>
        <w:t xml:space="preserve">marché estimé. J’ai donc entièrement réécrit l’interface en langage de gestion, et j’en ai</w:t>
      </w:r>
      <w:r>
        <w:t xml:space="preserve"> </w:t>
      </w:r>
      <w:r>
        <w:t xml:space="preserve">restreint le périmètre aux 147 opérations de promotion immobilière, l’aménagement foncier</w:t>
      </w:r>
      <w:r>
        <w:t xml:space="preserve"> </w:t>
      </w:r>
      <w:r>
        <w:t xml:space="preserve">relevant d’une logique économique différente. Les métriques de validation, elles, restent</w:t>
      </w:r>
      <w:r>
        <w:t xml:space="preserve"> </w:t>
      </w:r>
      <w:r>
        <w:t xml:space="preserve">dans les notebooks : l’écran ne montre que ce qui se décide.</w:t>
      </w:r>
    </w:p>
    <w:p>
      <w:pPr>
        <w:pStyle w:val="BodyText"/>
      </w:pPr>
      <w:r>
        <w:t xml:space="preserve">Ce retour a été l’un des enseignements les plus utiles du projet. Un modèle correctement</w:t>
      </w:r>
      <w:r>
        <w:t xml:space="preserve"> </w:t>
      </w:r>
      <w:r>
        <w:t xml:space="preserve">validé mais restitué dans le vocabulaire du modélisateur reste inutilisable par le métier,</w:t>
      </w:r>
      <w:r>
        <w:t xml:space="preserve"> </w:t>
      </w:r>
      <w:r>
        <w:t xml:space="preserve">et cette distance ne se comble pas par de la pédagogie, elle se comble en changeant les</w:t>
      </w:r>
      <w:r>
        <w:t xml:space="preserve"> </w:t>
      </w:r>
      <w:r>
        <w:t xml:space="preserve">mots affichés.</w:t>
      </w:r>
    </w:p>
    <w:bookmarkEnd w:id="22"/>
    <w:bookmarkEnd w:id="23"/>
    <w:bookmarkStart w:id="26" w:name="données-disponibles"/>
    <w:p>
      <w:pPr>
        <w:pStyle w:val="Heading2"/>
      </w:pPr>
      <w:r>
        <w:t xml:space="preserve">2.2 Données disponibles</w:t>
      </w:r>
    </w:p>
    <w:bookmarkStart w:id="24" w:name="données-internes"/>
    <w:p>
      <w:pPr>
        <w:pStyle w:val="Heading3"/>
      </w:pPr>
      <w:r>
        <w:t xml:space="preserve">2.2.1 Données internes</w:t>
      </w:r>
    </w:p>
    <w:p>
      <w:pPr>
        <w:pStyle w:val="FirstParagraph"/>
      </w:pPr>
      <w:r>
        <w:t xml:space="preserve">Quatre exports du système de gestion constituent le point de départ du projet.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63"/>
        <w:gridCol w:w="1630"/>
        <w:gridCol w:w="2795"/>
        <w:gridCol w:w="16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Volumétrie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Grille de Prix Avec Désistements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× dossier de vente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16 467 lignes, 196 opérations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ventes, prix, dates, désistements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 &amp; EFR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poste analytique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65 000 lignes, 267 opérations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budget, engagé, facturé par poste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A_DM_BUDGET_MONTANT_GESTION_LIVE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poste budgétaire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79 106 lignes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contrôle de cohérence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06_Informations Lots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dossier désisté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2 164 lignes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 des désistements</w:t>
            </w:r>
          </w:p>
        </w:tc>
      </w:tr>
    </w:tbl>
    <w:p>
      <w:pPr>
        <w:pStyle w:val="BodyText"/>
      </w:pPr>
      <w:r>
        <w:t xml:space="preserve">Comprendre ces exports m’a demandé plus de temps que les modéliser. Ce déséquilibre m’a</w:t>
      </w:r>
      <w:r>
        <w:t xml:space="preserve"> </w:t>
      </w:r>
      <w:r>
        <w:t xml:space="preserve">d’abord surprise, puis m’a paru normal : c’est à cette étape que se jouait la fiabilité de</w:t>
      </w:r>
      <w:r>
        <w:t xml:space="preserve"> </w:t>
      </w:r>
      <w:r>
        <w:t xml:space="preserve">tout le reste. Trois constats l’illustrent.</w:t>
      </w:r>
    </w:p>
    <w:p>
      <w:pPr>
        <w:pStyle w:val="BodyText"/>
      </w:pPr>
      <w:r>
        <w:t xml:space="preserve">Le premier concerne le fichier « 06_Informations Lots ». Malgré son nom, il ne contient</w:t>
      </w:r>
      <w:r>
        <w:t xml:space="preserve"> </w:t>
      </w:r>
      <w:r>
        <w:t xml:space="preserve">pas les lots : il ne porte que des dossiers désistés, 2 157 au motif « Désisté » et 7 au</w:t>
      </w:r>
      <w:r>
        <w:t xml:space="preserve"> </w:t>
      </w:r>
      <w:r>
        <w:t xml:space="preserve">motif « Résolution de vente ». La table maîtresse des lots est en réalité la grille de</w:t>
      </w:r>
      <w:r>
        <w:t xml:space="preserve"> </w:t>
      </w:r>
      <w:r>
        <w:t xml:space="preserve">prix. Prendre ce fichier pour ce que son nom annonce aurait faussé toute l’analyse du</w:t>
      </w:r>
      <w:r>
        <w:t xml:space="preserve"> </w:t>
      </w:r>
      <w:r>
        <w:t xml:space="preserve">stock.</w:t>
      </w:r>
    </w:p>
    <w:p>
      <w:pPr>
        <w:pStyle w:val="BodyText"/>
      </w:pPr>
      <w:r>
        <w:t xml:space="preserve">Le deuxième concerne le fichier « Budget &amp; EFR ». Il affiche 65 000 lignes, un chiffre rond</w:t>
      </w:r>
      <w:r>
        <w:t xml:space="preserve"> </w:t>
      </w:r>
      <w:r>
        <w:t xml:space="preserve">qui évoquait immédiatement une troncature à l’export. J’ai donc réconcilié ce fichier avec</w:t>
      </w:r>
      <w:r>
        <w:t xml:space="preserve"> </w:t>
      </w:r>
      <w:r>
        <w:t xml:space="preserve">le fichier LIVE, et la vérification a montré le contraire de ce que je craignais : les</w:t>
      </w:r>
      <w:r>
        <w:t xml:space="preserve"> </w:t>
      </w:r>
      <w:r>
        <w:t xml:space="preserve">totaux sont identiques à l’euro près sur les 118 opérations jointes, avec un écart médian</w:t>
      </w:r>
      <w:r>
        <w:t xml:space="preserve"> </w:t>
      </w:r>
      <w:r>
        <w:t xml:space="preserve">nul. Les 65 000 lignes se décomposent en 64 788 postes de détail et 212 lignes de synthèse.</w:t>
      </w:r>
      <w:r>
        <w:t xml:space="preserve"> </w:t>
      </w:r>
      <w:r>
        <w:t xml:space="preserve">Le chiffre rond n’était qu’une coïncidence.</w:t>
      </w:r>
    </w:p>
    <w:p>
      <w:pPr>
        <w:pStyle w:val="BodyText"/>
      </w:pPr>
      <w:r>
        <w:t xml:space="preserve">Le troisième concerne le nettoyage proprement dit, qui a traité les défauts classiques d’un</w:t>
      </w:r>
      <w:r>
        <w:t xml:space="preserve"> </w:t>
      </w:r>
      <w:r>
        <w:t xml:space="preserve">export de gestion. Les natures de lot ont été harmonisées, les libellés « appt »,</w:t>
      </w:r>
      <w:r>
        <w:t xml:space="preserve"> </w:t>
      </w:r>
      <w:r>
        <w:t xml:space="preserve">« Appartement » ou « stat » étant regroupés en huit familles. Les doublons orthographiques</w:t>
      </w:r>
      <w:r>
        <w:t xml:space="preserve"> </w:t>
      </w:r>
      <w:r>
        <w:t xml:space="preserve">de communes ont été fusionnés : 91 orthographes désignaient en réalité 90 communes. Enfin,</w:t>
      </w:r>
      <w:r>
        <w:t xml:space="preserve"> </w:t>
      </w:r>
      <w:r>
        <w:t xml:space="preserve">les surfaces et les prix à zéro ont été convertis en valeurs manquantes plutôt que traités</w:t>
      </w:r>
      <w:r>
        <w:t xml:space="preserve"> </w:t>
      </w:r>
      <w:r>
        <w:t xml:space="preserve">comme des zéros réels, un zéro de surface n’ayant aucun sens économique.</w:t>
      </w:r>
    </w:p>
    <w:bookmarkEnd w:id="24"/>
    <w:bookmarkStart w:id="25" w:name="données-externes"/>
    <w:p>
      <w:pPr>
        <w:pStyle w:val="Heading3"/>
      </w:pPr>
      <w:r>
        <w:t xml:space="preserve">2.2.2 Données externes</w:t>
      </w:r>
    </w:p>
    <w:p>
      <w:pPr>
        <w:pStyle w:val="FirstParagraph"/>
      </w:pPr>
      <w:r>
        <w:t xml:space="preserve">Trois sources publiques complètent les données internes. Je les ai toutes récupérées par</w:t>
      </w:r>
      <w:r>
        <w:t xml:space="preserve"> </w:t>
      </w:r>
      <w:r>
        <w:t xml:space="preserve">script, et non par téléchargement manuel, pour qu’elles restent re-téléchargeables et que</w:t>
      </w:r>
      <w:r>
        <w:t xml:space="preserve"> </w:t>
      </w:r>
      <w:r>
        <w:t xml:space="preserve">l’analyse puisse être rejouée sur des séries actualisées 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Le taux moyen des crédits habitat en France</w:t>
      </w:r>
      <w:r>
        <w:t xml:space="preserve">, série mensuelle de la Banque centrale</w:t>
      </w:r>
      <w:r>
        <w:t xml:space="preserve"> </w:t>
      </w:r>
      <w:r>
        <w:t xml:space="preserve">européenne, de 2015 à 2026.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L’indicateur de confiance des ménages</w:t>
      </w:r>
      <w:r>
        <w:t xml:space="preserve">, publié par Eurostat, sur la même période.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Un référentiel des 90 communes d’implantation</w:t>
      </w:r>
      <w:r>
        <w:t xml:space="preserve"> </w:t>
      </w:r>
      <w:r>
        <w:t xml:space="preserve">du groupe, comprenant la population et</w:t>
      </w:r>
      <w:r>
        <w:t xml:space="preserve"> </w:t>
      </w:r>
      <w:r>
        <w:t xml:space="preserve">les coordonnées géographiques, obtenu par l’API publique</w:t>
      </w:r>
      <w:r>
        <w:t xml:space="preserve"> </w:t>
      </w:r>
      <w:r>
        <w:rPr>
          <w:rStyle w:val="VerbatimChar"/>
        </w:rPr>
        <w:t xml:space="preserve">geo.api.gouv.fr</w:t>
      </w:r>
      <w:r>
        <w:t xml:space="preserve"> </w:t>
      </w:r>
      <w:r>
        <w:t xml:space="preserve">et enrichi</w:t>
      </w:r>
      <w:r>
        <w:t xml:space="preserve"> </w:t>
      </w:r>
      <w:r>
        <w:t xml:space="preserve">d’une distance au littoral que j’ai calculée.</w:t>
      </w:r>
    </w:p>
    <w:bookmarkEnd w:id="25"/>
    <w:bookmarkEnd w:id="26"/>
    <w:bookmarkStart w:id="27" w:name="architecture-technique"/>
    <w:p>
      <w:pPr>
        <w:pStyle w:val="Heading2"/>
      </w:pPr>
      <w:r>
        <w:t xml:space="preserve">2.3 Architecture technique</w:t>
      </w:r>
    </w:p>
    <w:p>
      <w:pPr>
        <w:pStyle w:val="FirstParagraph"/>
      </w:pPr>
      <w:r>
        <w:t xml:space="preserve">L’architecture retenue tient en une chaîne courte et entièrement rejouable. Les quatre</w:t>
      </w:r>
      <w:r>
        <w:t xml:space="preserve"> </w:t>
      </w:r>
      <w:r>
        <w:t xml:space="preserve">exports et les trois sources externes alimentent un script de nettoyage, qui charge une</w:t>
      </w:r>
      <w:r>
        <w:t xml:space="preserve"> </w:t>
      </w:r>
      <w:r>
        <w:t xml:space="preserve">base SQLite organisée en schéma en étoile, c’est-à-dire autour de tables de faits</w:t>
      </w:r>
      <w:r>
        <w:t xml:space="preserve"> </w:t>
      </w:r>
      <w:r>
        <w:t xml:space="preserve">rattachées à des tables de dimensions. On y trouve trois dimensions, les opérations, les</w:t>
      </w:r>
      <w:r>
        <w:t xml:space="preserve"> </w:t>
      </w:r>
      <w:r>
        <w:t xml:space="preserve">communes et la conjoncture mensuelle, et quatre tables de faits : 64 788 lignes</w:t>
      </w:r>
      <w:r>
        <w:t xml:space="preserve"> </w:t>
      </w:r>
      <w:r>
        <w:t xml:space="preserve">budgétaires, 14 123 lots, 14 428 dossiers de vente et 2 164 désistements. Les notebooks</w:t>
      </w:r>
      <w:r>
        <w:t xml:space="preserve"> </w:t>
      </w:r>
      <w:r>
        <w:t xml:space="preserve">d’analyse et l’application s’appuient tous deux sur cette base.</w:t>
      </w:r>
    </w:p>
    <w:p>
      <w:pPr>
        <w:pStyle w:val="BodyText"/>
      </w:pPr>
      <w:r>
        <w:t xml:space="preserve">Trois vues SQL y encapsulent les calculs partagés : la marge budgétée contre la marge</w:t>
      </w:r>
      <w:r>
        <w:t xml:space="preserve"> </w:t>
      </w:r>
      <w:r>
        <w:t xml:space="preserve">engagée par opération, les réservations par opération et par mois, et l’état du stock. Ce</w:t>
      </w:r>
      <w:r>
        <w:t xml:space="preserve"> </w:t>
      </w:r>
      <w:r>
        <w:t xml:space="preserve">choix est plus structurant qu’il n’y paraît. La définition de la marge est écrite une seule</w:t>
      </w:r>
      <w:r>
        <w:t xml:space="preserve"> </w:t>
      </w:r>
      <w:r>
        <w:t xml:space="preserve">fois, dans la vue, et les notebooks comme la plateforme consomment la même. C’est</w:t>
      </w:r>
      <w:r>
        <w:t xml:space="preserve"> </w:t>
      </w:r>
      <w:r>
        <w:t xml:space="preserve">exactement le problème que j’avais rencontré sur les reportings décrits dans mon mémoire de</w:t>
      </w:r>
      <w:r>
        <w:t xml:space="preserve"> </w:t>
      </w:r>
      <w:r>
        <w:t xml:space="preserve">mi-parcours, où la même notion pouvait être calculée différemment selon l’outil qui</w:t>
      </w:r>
      <w:r>
        <w:t xml:space="preserve"> </w:t>
      </w:r>
      <w:r>
        <w:t xml:space="preserve">l’interrogeait.</w:t>
      </w:r>
    </w:p>
    <w:p>
      <w:pPr>
        <w:pStyle w:val="BodyText"/>
      </w:pPr>
      <w:r>
        <w:t xml:space="preserve">Une seule commande reconstruit l’ensemble depuis les exports bruts, en quelques secondes.</w:t>
      </w:r>
      <w:r>
        <w:t xml:space="preserve"> </w:t>
      </w:r>
      <w:r>
        <w:t xml:space="preserve">L’analyse complète est versionnée et ré-exécutable de bout en bout, ce qui signifie que</w:t>
      </w:r>
      <w:r>
        <w:t xml:space="preserve"> </w:t>
      </w:r>
      <w:r>
        <w:t xml:space="preserve">tous les résultats présentés dans ce chapitre sont reproductibles.</w:t>
      </w:r>
    </w:p>
    <w:bookmarkEnd w:id="27"/>
    <w:bookmarkStart w:id="55" w:name="notebooks-et-résultats"/>
    <w:p>
      <w:pPr>
        <w:pStyle w:val="Heading2"/>
      </w:pPr>
      <w:r>
        <w:t xml:space="preserve">2.4 Notebooks et résultats</w:t>
      </w:r>
    </w:p>
    <w:bookmarkStart w:id="34" w:name="X602394daec039ef4331b05e21f2ad099f555b11"/>
    <w:p>
      <w:pPr>
        <w:pStyle w:val="Heading3"/>
      </w:pPr>
      <w:r>
        <w:t xml:space="preserve">2.4.1 Exploration et nettoyage des données brutes</w:t>
      </w:r>
    </w:p>
    <w:p>
      <w:pPr>
        <w:pStyle w:val="FirstParagraph"/>
      </w:pPr>
      <w:r>
        <w:t xml:space="preserve">Au-delà du nettoyage décrit en section 2.2, l’exploration a produit deux résultats qui ont</w:t>
      </w:r>
      <w:r>
        <w:t xml:space="preserve"> </w:t>
      </w:r>
      <w:r>
        <w:t xml:space="preserve">directement orienté la modélisation.</w:t>
      </w:r>
    </w:p>
    <w:p>
      <w:pPr>
        <w:pStyle w:val="BodyText"/>
      </w:pPr>
      <w:r>
        <w:t xml:space="preserve">Le premier concerne la distribution des prix. Le prix au mètre carré des appartements est</w:t>
      </w:r>
      <w:r>
        <w:t xml:space="preserve"> </w:t>
      </w:r>
      <w:r>
        <w:t xml:space="preserve">fortement asymétrique, avec un coefficient d’asymétrie de 19,2, ce qui interdisait</w:t>
      </w:r>
      <w:r>
        <w:t xml:space="preserve"> </w:t>
      </w:r>
      <w:r>
        <w:t xml:space="preserve">d’appliquer telle quelle une régression linéaire. Après passage au logarithme, la</w:t>
      </w:r>
      <w:r>
        <w:t xml:space="preserve"> </w:t>
      </w:r>
      <w:r>
        <w:t xml:space="preserve">distribution devient proche d’une loi normale : le coefficient d’asymétrie tombe à 0,39 et</w:t>
      </w:r>
      <w:r>
        <w:t xml:space="preserve"> </w:t>
      </w:r>
      <w:r>
        <w:t xml:space="preserve">le diagramme quantile-quantile, qui compare la distribution observée à la distribution</w:t>
      </w:r>
      <w:r>
        <w:t xml:space="preserve"> </w:t>
      </w:r>
      <w:r>
        <w:t xml:space="preserve">théorique, devient presque rectiligne. La Figure 2.1 montre les deux distributions côte à</w:t>
      </w:r>
      <w:r>
        <w:t xml:space="preserve"> </w:t>
      </w:r>
      <w:r>
        <w:t xml:space="preserve">côte. C’est ce constat qui a conduit l’axe C à modéliser le logarithme du prix plutôt que</w:t>
      </w:r>
      <w:r>
        <w:t xml:space="preserve"> </w:t>
      </w:r>
      <w:r>
        <w:t xml:space="preserve">le prix lui-même.</w:t>
      </w:r>
    </w:p>
    <w:p>
      <w:pPr>
        <w:pStyle w:val="CaptionedFigure"/>
      </w:pPr>
      <w:r>
        <w:drawing>
          <wp:inline>
            <wp:extent cx="5334000" cy="3374934"/>
            <wp:effectExtent b="0" l="0" r="0" t="0"/>
            <wp:docPr descr="Prix au mètre carré des appartements : distribution brute et après transformation logarithmique" title="" id="29" name="Picture"/>
            <a:graphic>
              <a:graphicData uri="http://schemas.openxmlformats.org/drawingml/2006/picture">
                <pic:pic>
                  <pic:nvPicPr>
                    <pic:cNvPr descr="figures/fig_2_1_prix_m2_log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4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2.1 – Prix au mètre carré des appartements : distribution brute et après transformation logarithmique</w:t>
      </w:r>
    </w:p>
    <w:p>
      <w:pPr>
        <w:pStyle w:val="BodyText"/>
      </w:pPr>
      <w:r>
        <w:t xml:space="preserve">Le second résultat est une leçon de méthode, et c’est peut-être le passage du projet dont</w:t>
      </w:r>
      <w:r>
        <w:t xml:space="preserve"> </w:t>
      </w:r>
      <w:r>
        <w:t xml:space="preserve">j’ai le plus appris. En calculant la corrélation entre les réservations mensuelles du</w:t>
      </w:r>
      <w:r>
        <w:t xml:space="preserve"> </w:t>
      </w:r>
      <w:r>
        <w:t xml:space="preserve">groupe et le taux des crédits habitat, j’obtenais une valeur quasi nulle, de +0,07. Prise</w:t>
      </w:r>
      <w:r>
        <w:t xml:space="preserve"> </w:t>
      </w:r>
      <w:r>
        <w:t xml:space="preserve">au premier degré, cette valeur signifiait que la conjoncture n’explique rien du rythme de</w:t>
      </w:r>
      <w:r>
        <w:t xml:space="preserve"> </w:t>
      </w:r>
      <w:r>
        <w:t xml:space="preserve">vente, ce qui contredisait à la fois l’intuition des équipes commerciales et tout ce que</w:t>
      </w:r>
      <w:r>
        <w:t xml:space="preserve"> </w:t>
      </w:r>
      <w:r>
        <w:t xml:space="preserve">l’on sait du marché.</w:t>
      </w:r>
    </w:p>
    <w:p>
      <w:pPr>
        <w:pStyle w:val="BodyText"/>
      </w:pPr>
      <w:r>
        <w:t xml:space="preserve">En réalité, la série brute est brouillée par la croissance du portefeuille. Le nombre</w:t>
      </w:r>
      <w:r>
        <w:t xml:space="preserve"> </w:t>
      </w:r>
      <w:r>
        <w:t xml:space="preserve">d’opérations en commercialisation a fortement augmenté sur la période, ce qui soutient le</w:t>
      </w:r>
      <w:r>
        <w:t xml:space="preserve"> </w:t>
      </w:r>
      <w:r>
        <w:t xml:space="preserve">volume total de réservations même lorsque la demande par programme s’effondre. Rapportées</w:t>
      </w:r>
      <w:r>
        <w:t xml:space="preserve"> </w:t>
      </w:r>
      <w:r>
        <w:t xml:space="preserve">au nombre d’opérations actives, les réservations racontent l’inverse, comme le montre la</w:t>
      </w:r>
      <w:r>
        <w:t xml:space="preserve"> </w:t>
      </w:r>
      <w:r>
        <w:t xml:space="preserve">Figure 2.2 : la corrélation passe à -0,34 avec le taux d’intérêt et à +0,44 avec la</w:t>
      </w:r>
      <w:r>
        <w:t xml:space="preserve"> </w:t>
      </w:r>
      <w:r>
        <w:t xml:space="preserve">confiance des ménages. Tout l’axe B repose sur cette correction. Sans elle, j’aurais conclu</w:t>
      </w:r>
      <w:r>
        <w:t xml:space="preserve"> </w:t>
      </w:r>
      <w:r>
        <w:t xml:space="preserve">à l’absence d’effet de la conjoncture, et j’aurais eu tort.</w:t>
      </w:r>
    </w:p>
    <w:p>
      <w:pPr>
        <w:pStyle w:val="CaptionedFigure"/>
      </w:pPr>
      <w:r>
        <w:drawing>
          <wp:inline>
            <wp:extent cx="5334000" cy="1616228"/>
            <wp:effectExtent b="0" l="0" r="0" t="0"/>
            <wp:docPr descr="Intensité de vente, mesurée en réservations par opération active : l’effet de la remontée des taux apparaît une fois l’effet de portefeuille neutralisé" title="" id="32" name="Picture"/>
            <a:graphic>
              <a:graphicData uri="http://schemas.openxmlformats.org/drawingml/2006/picture">
                <pic:pic>
                  <pic:nvPicPr>
                    <pic:cNvPr descr="figures/fig_2_2_intensite_vent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6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2.2 – Intensité de vente, mesurée en réservations par opération active : l’effet de la remontée des taux apparaît une fois l’effet de portefeuille neutralisé</w:t>
      </w:r>
    </w:p>
    <w:bookmarkEnd w:id="34"/>
    <w:bookmarkStart w:id="35" w:name="sql-et-spark"/>
    <w:p>
      <w:pPr>
        <w:pStyle w:val="Heading3"/>
      </w:pPr>
      <w:r>
        <w:t xml:space="preserve">2.4.2 SQL et Spark</w:t>
      </w:r>
    </w:p>
    <w:p>
      <w:pPr>
        <w:pStyle w:val="FirstParagraph"/>
      </w:pPr>
      <w:r>
        <w:t xml:space="preserve">Le véritable livrable de cette étape est la base SQL décrite en section 2.3 : les vues</w:t>
      </w:r>
      <w:r>
        <w:t xml:space="preserve"> </w:t>
      </w:r>
      <w:r>
        <w:t xml:space="preserve">métier partagées, les index, et un contrôle croisé des agrégats qui retrouve les mêmes</w:t>
      </w:r>
      <w:r>
        <w:t xml:space="preserve"> </w:t>
      </w:r>
      <w:r>
        <w:t xml:space="preserve">totaux par deux moteurs indépendants, soit 1 561,8 M€ de dépenses budgétées et 1 754,8 M€</w:t>
      </w:r>
      <w:r>
        <w:t xml:space="preserve"> </w:t>
      </w:r>
      <w:r>
        <w:t xml:space="preserve">de recettes, à l’arrondi près. Ce contrôle n’est pas une coquetterie : il garantit que la</w:t>
      </w:r>
      <w:r>
        <w:t xml:space="preserve"> </w:t>
      </w:r>
      <w:r>
        <w:t xml:space="preserve">base chargée dit bien la même chose que les exports d’origine.</w:t>
      </w:r>
    </w:p>
    <w:p>
      <w:pPr>
        <w:pStyle w:val="BodyText"/>
      </w:pPr>
      <w:r>
        <w:t xml:space="preserve">J’ai ensuite évalué Spark comme piste de montée en charge, l’entreprise appartenant à un</w:t>
      </w:r>
      <w:r>
        <w:t xml:space="preserve"> </w:t>
      </w:r>
      <w:r>
        <w:t xml:space="preserve">groupe dont le périmètre de données dépasse largement le sien. Le test est concluant,</w:t>
      </w:r>
      <w:r>
        <w:t xml:space="preserve"> </w:t>
      </w:r>
      <w:r>
        <w:t xml:space="preserve">mais par la négative. Sur notre volumétrie, 64 788 lignes représentant 9 Mo en mémoire,</w:t>
      </w:r>
      <w:r>
        <w:t xml:space="preserve"> </w:t>
      </w:r>
      <w:r>
        <w:t xml:space="preserve">l’agrégation chronométrée est environ cinquante fois plus lente qu’avec pandas. Le rapport</w:t>
      </w:r>
      <w:r>
        <w:t xml:space="preserve"> </w:t>
      </w:r>
      <w:r>
        <w:t xml:space="preserve">mesuré est de 58, après 24 secondes de démarrage de la machine virtuelle Java ; une</w:t>
      </w:r>
      <w:r>
        <w:t xml:space="preserve"> </w:t>
      </w:r>
      <w:r>
        <w:t xml:space="preserve">exécution antérieure donnait 28. Le chiffre varie donc avec la machine, mais la conclusion</w:t>
      </w:r>
      <w:r>
        <w:t xml:space="preserve"> </w:t>
      </w:r>
      <w:r>
        <w:t xml:space="preserve">non.</w:t>
      </w:r>
    </w:p>
    <w:p>
      <w:pPr>
        <w:pStyle w:val="BodyText"/>
      </w:pPr>
      <w:r>
        <w:t xml:space="preserve">SQLite et pandas constituent la bonne architecture à cette échelle, et il faut savoir le</w:t>
      </w:r>
      <w:r>
        <w:t xml:space="preserve"> </w:t>
      </w:r>
      <w:r>
        <w:t xml:space="preserve">dire plutôt que d’ajouter une technologie parce qu’elle figure au programme. L’intérêt du</w:t>
      </w:r>
      <w:r>
        <w:t xml:space="preserve"> </w:t>
      </w:r>
      <w:r>
        <w:t xml:space="preserve">test est ailleurs : le chemin de montée en charge est identifié et documenté, si le</w:t>
      </w:r>
      <w:r>
        <w:t xml:space="preserve"> </w:t>
      </w:r>
      <w:r>
        <w:t xml:space="preserve">périmètre devait un jour s’étendre à celui du groupe Nexity.</w:t>
      </w:r>
    </w:p>
    <w:bookmarkEnd w:id="35"/>
    <w:bookmarkStart w:id="39" w:name="axe-a"/>
    <w:p>
      <w:pPr>
        <w:pStyle w:val="Heading3"/>
      </w:pPr>
      <w:r>
        <w:t xml:space="preserve">2.4.3 Axe A</w:t>
      </w:r>
    </w:p>
    <w:p>
      <w:pPr>
        <w:pStyle w:val="FirstParagraph"/>
      </w:pPr>
      <w:r>
        <w:t xml:space="preserve">La difficulté de l’axe A n’était pas le modèle mais la définition de la cible. Les exports</w:t>
      </w:r>
      <w:r>
        <w:t xml:space="preserve"> </w:t>
      </w:r>
      <w:r>
        <w:t xml:space="preserve">dont je disposais sont une photographie à date, sans historique des révisions budgétaires :</w:t>
      </w:r>
      <w:r>
        <w:t xml:space="preserve"> </w:t>
      </w:r>
      <w:r>
        <w:t xml:space="preserve">je ne peux donc pas observer comment un budget a évolué, seulement où il en est</w:t>
      </w:r>
      <w:r>
        <w:t xml:space="preserve"> </w:t>
      </w:r>
      <w:r>
        <w:t xml:space="preserve">aujourd’hui.</w:t>
      </w:r>
    </w:p>
    <w:p>
      <w:pPr>
        <w:pStyle w:val="BodyText"/>
      </w:pPr>
      <w:r>
        <w:t xml:space="preserve">J’ai donc mesuré la dérive par les dépassements déjà engagés, poste par poste. Les dépenses</w:t>
      </w:r>
      <w:r>
        <w:t xml:space="preserve"> </w:t>
      </w:r>
      <w:r>
        <w:t xml:space="preserve">à terminaison sont estimées par le maximum de l’engagé et du budget de chaque poste, selon</w:t>
      </w:r>
      <w:r>
        <w:t xml:space="preserve"> </w:t>
      </w:r>
      <w:r>
        <w:t xml:space="preserve">un principe qui se formule simplement : un dépassement engagé est acquis, et le budget</w:t>
      </w:r>
      <w:r>
        <w:t xml:space="preserve"> </w:t>
      </w:r>
      <w:r>
        <w:t xml:space="preserve">restant sera dépensé. La variation de marge rapporte ensuite la marge ainsi recalculée à la</w:t>
      </w:r>
      <w:r>
        <w:t xml:space="preserve"> </w:t>
      </w:r>
      <w:r>
        <w:t xml:space="preserve">marge budgétée.</w:t>
      </w:r>
    </w:p>
    <w:p>
      <w:pPr>
        <w:pStyle w:val="BodyText"/>
      </w:pPr>
      <w:r>
        <w:t xml:space="preserve">Cette définition impose une précaution sur les variables explicatives, et j’y ai veillé</w:t>
      </w:r>
      <w:r>
        <w:t xml:space="preserve"> </w:t>
      </w:r>
      <w:r>
        <w:t xml:space="preserve">dès la construction du jeu de données. Concrètement, le modèle n’utilise que le budget</w:t>
      </w:r>
      <w:r>
        <w:t xml:space="preserve"> </w:t>
      </w:r>
      <w:r>
        <w:t xml:space="preserve">initial et les signaux commerciaux, jamais l’engagé ni le facturé, qui sont précisément ce</w:t>
      </w:r>
      <w:r>
        <w:t xml:space="preserve"> </w:t>
      </w:r>
      <w:r>
        <w:t xml:space="preserve">qui définit la cible. Sans cette précaution, le modèle aurait « prédit » sa propre définition, avec des</w:t>
      </w:r>
      <w:r>
        <w:t xml:space="preserve"> </w:t>
      </w:r>
      <w:r>
        <w:t xml:space="preserve">performances flatteuses et parfaitement trompeuses.</w:t>
      </w:r>
    </w:p>
    <w:p>
      <w:pPr>
        <w:pStyle w:val="BodyText"/>
      </w:pPr>
      <w:r>
        <w:t xml:space="preserve">Sur le périmètre exploitable, soit les 123 opérations engagées à au moins 60 % et dont la</w:t>
      </w:r>
      <w:r>
        <w:t xml:space="preserve"> </w:t>
      </w:r>
      <w:r>
        <w:t xml:space="preserve">marge budgétée dépasse 50 k€, plus d’un tiers des opérations, 36,6 % exactement, n’a aucun</w:t>
      </w:r>
      <w:r>
        <w:t xml:space="preserve"> </w:t>
      </w:r>
      <w:r>
        <w:t xml:space="preserve">dépassement engagé. Mais 28 % franchissent le seuil de dérive matérielle, que j’ai fixé à</w:t>
      </w:r>
      <w:r>
        <w:t xml:space="preserve"> </w:t>
      </w:r>
      <w:r>
        <w:t xml:space="preserve">2 % de la marge, et deux cas extrêmes dépassent la moitié de la marge budgétée. La</w:t>
      </w:r>
      <w:r>
        <w:t xml:space="preserve"> </w:t>
      </w:r>
      <w:r>
        <w:t xml:space="preserve">Figure 2.3 donne la distribution complète et situe ce seuil.</w:t>
      </w:r>
    </w:p>
    <w:p>
      <w:pPr>
        <w:pStyle w:val="CaptionedFigure"/>
      </w:pPr>
      <w:r>
        <w:drawing>
          <wp:inline>
            <wp:extent cx="5067300" cy="1628472"/>
            <wp:effectExtent b="0" l="0" r="0" t="0"/>
            <wp:docPr descr="Distribution de la variation de marge engagée sur les 123 opérations du périmètre, et seuil de dérive matérielle à -2 %" title="" id="37" name="Picture"/>
            <a:graphic>
              <a:graphicData uri="http://schemas.openxmlformats.org/drawingml/2006/picture">
                <pic:pic>
                  <pic:nvPicPr>
                    <pic:cNvPr descr="figures/fig_2_3_distribution_variation_marge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628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2.3 – Distribution de la variation de marge engagée sur les 123 opérations du périmètre, et seuil de dérive matérielle à -2 %</w:t>
      </w:r>
    </w:p>
    <w:p>
      <w:pPr>
        <w:pStyle w:val="BodyText"/>
      </w:pPr>
      <w:r>
        <w:t xml:space="preserve">Un point mérite d’être dit clairement, parce qu’il va à l’encontre de ce qu’on attend d’un</w:t>
      </w:r>
      <w:r>
        <w:t xml:space="preserve"> </w:t>
      </w:r>
      <w:r>
        <w:t xml:space="preserve">projet de Data Science. La partie la plus utile de cet axe pour l’entreprise n’est pas un</w:t>
      </w:r>
      <w:r>
        <w:t xml:space="preserve"> </w:t>
      </w:r>
      <w:r>
        <w:t xml:space="preserve">modèle appris : c’est le tableau descriptif des dépassements engagés en euros, par</w:t>
      </w:r>
      <w:r>
        <w:t xml:space="preserve"> </w:t>
      </w:r>
      <w:r>
        <w:t xml:space="preserve">opération et par poste, calculé en SQL pur. C’est lui qui alimente la page « Alertes</w:t>
      </w:r>
      <w:r>
        <w:t xml:space="preserve"> </w:t>
      </w:r>
      <w:r>
        <w:t xml:space="preserve">marge » de la plateforme, et c’est lui que les contrôleurs de gestion consultent.</w:t>
      </w:r>
    </w:p>
    <w:p>
      <w:pPr>
        <w:pStyle w:val="BodyText"/>
      </w:pPr>
      <w:r>
        <w:t xml:space="preserve">La modélisation vient en complément, comme score de tri. Une régression du taux de</w:t>
      </w:r>
      <w:r>
        <w:t xml:space="preserve"> </w:t>
      </w:r>
      <w:r>
        <w:t xml:space="preserve">variation atteint un coefficient de détermination de 0,08 sur l’échantillon test. Le</w:t>
      </w:r>
      <w:r>
        <w:t xml:space="preserve"> </w:t>
      </w:r>
      <w:r>
        <w:t xml:space="preserve">résultat est modeste, et je le présente tel quel : la structure du budget initial</w:t>
      </w:r>
      <w:r>
        <w:t xml:space="preserve"> </w:t>
      </w:r>
      <w:r>
        <w:t xml:space="preserve">prédispose à la dérive mais ne la détermine pas, l’aléa de chantier faisant le reste. Une</w:t>
      </w:r>
      <w:r>
        <w:t xml:space="preserve"> </w:t>
      </w:r>
      <w:r>
        <w:t xml:space="preserve">classification des opérations « à risque », c’est-à-dire dont la dérive dépasse 2 %,</w:t>
      </w:r>
      <w:r>
        <w:t xml:space="preserve"> </w:t>
      </w:r>
      <w:r>
        <w:t xml:space="preserve">atteint un score F1 de l’ordre de 0,30 à 0,34 en validation croisée stratifiée, contre 0</w:t>
      </w:r>
      <w:r>
        <w:t xml:space="preserve"> </w:t>
      </w:r>
      <w:r>
        <w:t xml:space="preserve">pour la référence majoritaire, qui ne détecte rien du tout. J’ai confronté quatre</w:t>
      </w:r>
      <w:r>
        <w:t xml:space="preserve"> </w:t>
      </w:r>
      <w:r>
        <w:t xml:space="preserve">classifieurs classiques, la régression logistique, le séparateur à vaste marge, l’arbre de</w:t>
      </w:r>
      <w:r>
        <w:t xml:space="preserve"> </w:t>
      </w:r>
      <w:r>
        <w:t xml:space="preserve">décision et la forêt aléatoire ; à 123 observations, leurs écarts de performance ne sont</w:t>
      </w:r>
      <w:r>
        <w:t xml:space="preserve"> </w:t>
      </w:r>
      <w:r>
        <w:t xml:space="preserve">pas significatifs, et le choix s’est porté sur la forêt aléatoire, dont les probabilités</w:t>
      </w:r>
      <w:r>
        <w:t xml:space="preserve"> </w:t>
      </w:r>
      <w:r>
        <w:t xml:space="preserve">alimentent les niveaux d’alerte de la plateforme.</w:t>
      </w:r>
    </w:p>
    <w:p>
      <w:pPr>
        <w:pStyle w:val="BodyText"/>
      </w:pPr>
      <w:r>
        <w:t xml:space="preserve">Il faut donc lire ce dispositif pour ce qu’il est : un outil de hiérarchisation de</w:t>
      </w:r>
      <w:r>
        <w:t xml:space="preserve"> </w:t>
      </w:r>
      <w:r>
        <w:t xml:space="preserve">l’attention, pas un oracle. Un score F1 de 0,3 contre une référence à 0 signifie que le</w:t>
      </w:r>
      <w:r>
        <w:t xml:space="preserve"> </w:t>
      </w:r>
      <w:r>
        <w:t xml:space="preserve">modèle détecte quelque chose là où l’approche naïve ne détecte rien, ce qui est utile pour</w:t>
      </w:r>
      <w:r>
        <w:t xml:space="preserve"> </w:t>
      </w:r>
      <w:r>
        <w:t xml:space="preserve">ordonner une revue de gestion, mais ne permet pas de fonder une décision à lui seul.</w:t>
      </w:r>
    </w:p>
    <w:bookmarkEnd w:id="39"/>
    <w:bookmarkStart w:id="46" w:name="axe-b"/>
    <w:p>
      <w:pPr>
        <w:pStyle w:val="Heading3"/>
      </w:pPr>
      <w:r>
        <w:t xml:space="preserve">2.4.4 Axe B</w:t>
      </w:r>
    </w:p>
    <w:p>
      <w:pPr>
        <w:pStyle w:val="FirstParagraph"/>
      </w:pPr>
      <w:r>
        <w:t xml:space="preserve">C’est l’axe dont les résultats sont les plus solides, et celui qui sert le plus directement</w:t>
      </w:r>
      <w:r>
        <w:t xml:space="preserve"> </w:t>
      </w:r>
      <w:r>
        <w:t xml:space="preserve">la décision budgétaire.</w:t>
      </w:r>
    </w:p>
    <w:p>
      <w:pPr>
        <w:pStyle w:val="BodyText"/>
      </w:pPr>
      <w:r>
        <w:t xml:space="preserve">Le rythme de vente est modélisé sur un panel opération × mois, soit 3 230 observations</w:t>
      </w:r>
      <w:r>
        <w:t xml:space="preserve"> </w:t>
      </w:r>
      <w:r>
        <w:t xml:space="preserve">portant sur 160 opérations. J’ai pris soin d’y réintroduire les mois à zéro réservation,</w:t>
      </w:r>
      <w:r>
        <w:t xml:space="preserve"> </w:t>
      </w:r>
      <w:r>
        <w:t xml:space="preserve">entre la première et la dernière vente de chaque programme : les omettre reviendrait à ne</w:t>
      </w:r>
      <w:r>
        <w:t xml:space="preserve"> </w:t>
      </w:r>
      <w:r>
        <w:t xml:space="preserve">compter que les mois où quelque chose s’est passé, et donc à surestimer le rythme.</w:t>
      </w:r>
    </w:p>
    <w:p>
      <w:pPr>
        <w:pStyle w:val="BodyText"/>
      </w:pPr>
      <w:r>
        <w:t xml:space="preserve">Un modèle à effets aléatoires sépare alors ce qui revient à l’opération de ce qui revient à</w:t>
      </w:r>
      <w:r>
        <w:t xml:space="preserve"> </w:t>
      </w:r>
      <w:r>
        <w:t xml:space="preserve">la conjoncture. Deux enseignements en ressortent. D’une part, les deux tiers de la variance</w:t>
      </w:r>
      <w:r>
        <w:t xml:space="preserve"> </w:t>
      </w:r>
      <w:r>
        <w:t xml:space="preserve">tiennent au programme lui-même, avec un coefficient de corrélation intraclasse de 0,66 : la</w:t>
      </w:r>
      <w:r>
        <w:t xml:space="preserve"> </w:t>
      </w:r>
      <w:r>
        <w:t xml:space="preserve">localisation, le produit et le prix pèsent davantage que le contexte macroéconomique.</w:t>
      </w:r>
      <w:r>
        <w:t xml:space="preserve"> </w:t>
      </w:r>
      <w:r>
        <w:t xml:space="preserve">D’autre part, l’effet du taux d’intérêt est fortement significatif :</w:t>
      </w:r>
      <w:r>
        <w:t xml:space="preserve"> </w:t>
      </w:r>
      <w:r>
        <w:rPr>
          <w:bCs/>
          <w:b/>
        </w:rPr>
        <w:t xml:space="preserve">une hausse d’un point</w:t>
      </w:r>
      <w:r>
        <w:rPr>
          <w:bCs/>
          <w:b/>
        </w:rPr>
        <w:t xml:space="preserve"> </w:t>
      </w:r>
      <w:r>
        <w:rPr>
          <w:bCs/>
          <w:b/>
        </w:rPr>
        <w:t xml:space="preserve">de taux réduit les réservations mensuelles d’environ 19 %</w:t>
      </w:r>
      <w:r>
        <w:t xml:space="preserve">, pour un coefficient de -0,216</w:t>
      </w:r>
      <w:r>
        <w:t xml:space="preserve"> </w:t>
      </w:r>
      <w:r>
        <w:t xml:space="preserve">associé à une p-valeur inférieure à 10</w:t>
      </w:r>
      <w:r>
        <w:rPr>
          <w:vertAlign w:val="superscript"/>
        </w:rPr>
        <w:t xml:space="preserve">-15</w:t>
      </w:r>
      <w:r>
        <w:t xml:space="preserve">. La régression naïve, qui ignore la structure en</w:t>
      </w:r>
      <w:r>
        <w:t xml:space="preserve"> </w:t>
      </w:r>
      <w:r>
        <w:t xml:space="preserve">panel, surestime cet effet ; le modèle à effets aléatoires le corrige.</w:t>
      </w:r>
    </w:p>
    <w:p>
      <w:pPr>
        <w:pStyle w:val="BodyText"/>
      </w:pPr>
      <w:r>
        <w:t xml:space="preserve">Un garde-fou mérite d’être raconté, parce qu’il fonde la manière dont les scénarios sont</w:t>
      </w:r>
      <w:r>
        <w:t xml:space="preserve"> </w:t>
      </w:r>
      <w:r>
        <w:t xml:space="preserve">construits. Sur la série agrégée du groupe, qui compte 114 mois, j’ai mené une régression</w:t>
      </w:r>
      <w:r>
        <w:t xml:space="preserve"> </w:t>
      </w:r>
      <w:r>
        <w:t xml:space="preserve">dynamique à erreurs ARIMA dans les règles de l’art : vérification que les résidus sont</w:t>
      </w:r>
      <w:r>
        <w:t xml:space="preserve"> </w:t>
      </w:r>
      <w:r>
        <w:t xml:space="preserve">assimilables à un bruit blanc d’abord, sélection du modèle par le critère AICc ensuite.</w:t>
      </w:r>
      <w:r>
        <w:t xml:space="preserve"> </w:t>
      </w:r>
      <w:r>
        <w:t xml:space="preserve">Cette approche ne parvient pas à identifier l’effet du taux, dont le coefficient y est</w:t>
      </w:r>
      <w:r>
        <w:t xml:space="preserve"> </w:t>
      </w:r>
      <w:r>
        <w:t xml:space="preserve">indiscernable de zéro, avec une p-valeur de 0,82. L’explication tient à la nature de la</w:t>
      </w:r>
      <w:r>
        <w:t xml:space="preserve"> </w:t>
      </w:r>
      <w:r>
        <w:t xml:space="preserve">série : les variations du taux sont trop lentes pour être identifiées sur une seule série</w:t>
      </w:r>
      <w:r>
        <w:t xml:space="preserve"> </w:t>
      </w:r>
      <w:r>
        <w:t xml:space="preserve">de cette longueur.</w:t>
      </w:r>
    </w:p>
    <w:p>
      <w:pPr>
        <w:pStyle w:val="BodyText"/>
      </w:pPr>
      <w:r>
        <w:t xml:space="preserve">Ce résultat négatif dit deux choses. Il confirme d’abord que la significativité obtenue sur</w:t>
      </w:r>
      <w:r>
        <w:t xml:space="preserve"> </w:t>
      </w:r>
      <w:r>
        <w:t xml:space="preserve">le panel n’est pas un artefact de régression fallacieuse, puisque la voie temporelle, plus</w:t>
      </w:r>
      <w:r>
        <w:t xml:space="preserve"> </w:t>
      </w:r>
      <w:r>
        <w:t xml:space="preserve">exigeante sur ce point, ne produit tout simplement pas d’effet mesurable. Il indique</w:t>
      </w:r>
      <w:r>
        <w:t xml:space="preserve"> </w:t>
      </w:r>
      <w:r>
        <w:t xml:space="preserve">ensuite que les scénarios doivent combiner les deux modèles : la série temporelle fournit</w:t>
      </w:r>
      <w:r>
        <w:t xml:space="preserve"> </w:t>
      </w:r>
      <w:r>
        <w:t xml:space="preserve">la trajectoire de référence, avec sa dynamique et sa saisonnalité, et l’élasticité estimée</w:t>
      </w:r>
      <w:r>
        <w:t xml:space="preserve"> </w:t>
      </w:r>
      <w:r>
        <w:t xml:space="preserve">sur le panel traduit chaque scénario de taux en effet sur le rythme. Sur cette base,</w:t>
      </w:r>
      <w:r>
        <w:t xml:space="preserve"> </w:t>
      </w:r>
      <w:r>
        <w:t xml:space="preserve">présentée en Figure 2.4, une détente à 2,5 % fin 2026 redonnerait environ +6 % de rythme en</w:t>
      </w:r>
      <w:r>
        <w:t xml:space="preserve"> </w:t>
      </w:r>
      <w:r>
        <w:t xml:space="preserve">moyenne sur douze mois, tandis qu’une remontée à 3,5 % en retirerait 3 %.</w:t>
      </w:r>
    </w:p>
    <w:p>
      <w:pPr>
        <w:pStyle w:val="CaptionedFigure"/>
      </w:pPr>
      <w:r>
        <w:drawing>
          <wp:inline>
            <wp:extent cx="5067300" cy="1903409"/>
            <wp:effectExtent b="0" l="0" r="0" t="0"/>
            <wp:docPr descr="Prévision d’intensité de vente à douze mois sous trois scénarios de taux 2026, avec intervalle à 80 %" title="" id="41" name="Picture"/>
            <a:graphic>
              <a:graphicData uri="http://schemas.openxmlformats.org/drawingml/2006/picture">
                <pic:pic>
                  <pic:nvPicPr>
                    <pic:cNvPr descr="figures/fig_2_4_scenarios_taux_202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903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2.4 – Prévision d’intensité de vente à douze mois sous trois scénarios de taux 2026, avec intervalle à 80 %</w:t>
      </w:r>
    </w:p>
    <w:p>
      <w:pPr>
        <w:pStyle w:val="BodyText"/>
      </w:pPr>
      <w:r>
        <w:t xml:space="preserve">À l’échelle d’un programme pris isolément, la courbe des réservations cumulées suit une</w:t>
      </w:r>
      <w:r>
        <w:t xml:space="preserve"> </w:t>
      </w:r>
      <w:r>
        <w:t xml:space="preserve">forme en S, que j’ai ajustée par une fonction logistique à trois paramètres. Sur les 28</w:t>
      </w:r>
      <w:r>
        <w:t xml:space="preserve"> </w:t>
      </w:r>
      <w:r>
        <w:t xml:space="preserve">opérations terminées du périmètre, cet ajustement bat la droite dans 25 cas, comme</w:t>
      </w:r>
      <w:r>
        <w:t xml:space="preserve"> </w:t>
      </w:r>
      <w:r>
        <w:t xml:space="preserve">l’illustre la Figure 2.5 sur quatre programmes. Il fournit surtout un indicateur</w:t>
      </w:r>
      <w:r>
        <w:t xml:space="preserve"> </w:t>
      </w:r>
      <w:r>
        <w:t xml:space="preserve">directement utile à la trésorerie : le délai d’atteinte de 90 % du potentiel de vente, dont</w:t>
      </w:r>
      <w:r>
        <w:t xml:space="preserve"> </w:t>
      </w:r>
      <w:r>
        <w:t xml:space="preserve">la médiane est proche de vingt mois.</w:t>
      </w:r>
    </w:p>
    <w:p>
      <w:pPr>
        <w:pStyle w:val="CaptionedFigure"/>
      </w:pPr>
      <w:r>
        <w:drawing>
          <wp:inline>
            <wp:extent cx="5067300" cy="2973549"/>
            <wp:effectExtent b="0" l="0" r="0" t="0"/>
            <wp:docPr descr="Réservations cumulées et courbes logistiques ajustées sur quatre opérations terminées, avec le repère des 90 % du potentiel" title="" id="44" name="Picture"/>
            <a:graphic>
              <a:graphicData uri="http://schemas.openxmlformats.org/drawingml/2006/picture">
                <pic:pic>
                  <pic:nvPicPr>
                    <pic:cNvPr descr="figures/fig_2_5_courbes_logistiques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973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2.5 – Réservations cumulées et courbes logistiques ajustées sur quatre opérations terminées, avec le repère des 90 % du potentiel</w:t>
      </w:r>
    </w:p>
    <w:p>
      <w:pPr>
        <w:pStyle w:val="BodyText"/>
      </w:pPr>
      <w:r>
        <w:t xml:space="preserve">La limite de cet indicateur est connue et vérifiée : en début de commercialisation, le</w:t>
      </w:r>
      <w:r>
        <w:t xml:space="preserve"> </w:t>
      </w:r>
      <w:r>
        <w:t xml:space="preserve">potentiel n’est pas identifiable, l’ajustement pouvant alors produire n’importe quelle</w:t>
      </w:r>
      <w:r>
        <w:t xml:space="preserve"> </w:t>
      </w:r>
      <w:r>
        <w:t xml:space="preserve">valeur. L’outil n’est donc proposé que sur les programmes suffisamment avancés, restriction</w:t>
      </w:r>
      <w:r>
        <w:t xml:space="preserve"> </w:t>
      </w:r>
      <w:r>
        <w:t xml:space="preserve">que j’ai codée dans la plateforme plutôt que laissée à l’appréciation de l’utilisateur.</w:t>
      </w:r>
    </w:p>
    <w:bookmarkEnd w:id="46"/>
    <w:bookmarkStart w:id="53" w:name="axe-c"/>
    <w:p>
      <w:pPr>
        <w:pStyle w:val="Heading3"/>
      </w:pPr>
      <w:r>
        <w:t xml:space="preserve">2.4.5 Axe C</w:t>
      </w:r>
    </w:p>
    <w:p>
      <w:pPr>
        <w:pStyle w:val="FirstParagraph"/>
      </w:pPr>
      <w:r>
        <w:t xml:space="preserve">Le modèle de prix est volontairement le plus simple qui fonctionne. Il s’agit d’une</w:t>
      </w:r>
      <w:r>
        <w:t xml:space="preserve"> </w:t>
      </w:r>
      <w:r>
        <w:t xml:space="preserve">régression linéaire du logarithme du prix au mètre carré des 5 064 appartements transigés</w:t>
      </w:r>
      <w:r>
        <w:t xml:space="preserve"> </w:t>
      </w:r>
      <w:r>
        <w:t xml:space="preserve">depuis 2016, expliqué par leurs caractéristiques, à savoir la surface, l’étage,</w:t>
      </w:r>
      <w:r>
        <w:t xml:space="preserve"> </w:t>
      </w:r>
      <w:r>
        <w:t xml:space="preserve">l’exposition, le type de produit, l’agence, la commune et la proximité du littoral, ainsi</w:t>
      </w:r>
      <w:r>
        <w:t xml:space="preserve"> </w:t>
      </w:r>
      <w:r>
        <w:t xml:space="preserve">que par leur année de réservation. Ce modèle explique 88,6 % de la variance sur</w:t>
      </w:r>
      <w:r>
        <w:t xml:space="preserve"> </w:t>
      </w:r>
      <w:r>
        <w:t xml:space="preserve">l’échantillon test, avec une erreur type d’environ 11 % sur le prix.</w:t>
      </w:r>
    </w:p>
    <w:p>
      <w:pPr>
        <w:pStyle w:val="BodyText"/>
      </w:pPr>
      <w:r>
        <w:t xml:space="preserve">Son intérêt principal n’est pas sa performance mais sa lisibilité : ses coefficients se</w:t>
      </w:r>
      <w:r>
        <w:t xml:space="preserve"> </w:t>
      </w:r>
      <w:r>
        <w:t xml:space="preserve">lisent comme des prix implicites, ce qui permet de les discuter avec la direction</w:t>
      </w:r>
      <w:r>
        <w:t xml:space="preserve"> </w:t>
      </w:r>
      <w:r>
        <w:t xml:space="preserve">commerciale. On y lit une prime d’étage de +6 %, une prime d’exposition sud, une décote de</w:t>
      </w:r>
      <w:r>
        <w:t xml:space="preserve"> </w:t>
      </w:r>
      <w:r>
        <w:t xml:space="preserve">63 % pour le logement social, qui s’explique par des prix réglementés, et un effet millésime</w:t>
      </w:r>
      <w:r>
        <w:t xml:space="preserve"> </w:t>
      </w:r>
      <w:r>
        <w:t xml:space="preserve">d’environ +19 points entre 2016 et 2023, suivi d’un plateau. La Figure 2.6 représente cet</w:t>
      </w:r>
      <w:r>
        <w:t xml:space="preserve"> </w:t>
      </w:r>
      <w:r>
        <w:t xml:space="preserve">effet millésime année par année.</w:t>
      </w:r>
    </w:p>
    <w:p>
      <w:pPr>
        <w:pStyle w:val="CaptionedFigure"/>
      </w:pPr>
      <w:r>
        <w:drawing>
          <wp:inline>
            <wp:extent cx="4693920" cy="1734156"/>
            <wp:effectExtent b="0" l="0" r="0" t="0"/>
            <wp:docPr descr="Effet millésime du modèle de prix : prime par année de réservation, référence 2016" title="" id="48" name="Picture"/>
            <a:graphic>
              <a:graphicData uri="http://schemas.openxmlformats.org/drawingml/2006/picture">
                <pic:pic>
                  <pic:nvPicPr>
                    <pic:cNvPr descr="figures/fig_2_6_effet_millesime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1734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2.6 – Effet millésime du modèle de prix : prime par année de réservation, référence 2016</w:t>
      </w:r>
    </w:p>
    <w:p>
      <w:pPr>
        <w:pStyle w:val="BodyText"/>
      </w:pPr>
      <w:r>
        <w:t xml:space="preserve">Ce plateau mérite d’être commenté, car il recoupe l’axe B. Les prix du neuf n’ont pas</w:t>
      </w:r>
      <w:r>
        <w:t xml:space="preserve"> </w:t>
      </w:r>
      <w:r>
        <w:t xml:space="preserve">baissé avec la remontée des taux : c’est le volume qui s’est ajusté. Les deux axes disent</w:t>
      </w:r>
      <w:r>
        <w:t xml:space="preserve"> </w:t>
      </w:r>
      <w:r>
        <w:t xml:space="preserve">donc la même chose par deux chemins indépendants, ce qui renforce la confiance que l’on</w:t>
      </w:r>
      <w:r>
        <w:t xml:space="preserve"> </w:t>
      </w:r>
      <w:r>
        <w:t xml:space="preserve">peut accorder à l’un comme à l’autre. J’ai également testé une variante régularisée du</w:t>
      </w:r>
      <w:r>
        <w:t xml:space="preserve"> </w:t>
      </w:r>
      <w:r>
        <w:t xml:space="preserve">modèle, sans gain : avec cinq mille observations pour une trentaine de coefficients, il n’y</w:t>
      </w:r>
      <w:r>
        <w:t xml:space="preserve"> </w:t>
      </w:r>
      <w:r>
        <w:t xml:space="preserve">avait rien à stabiliser.</w:t>
      </w:r>
    </w:p>
    <w:p>
      <w:pPr>
        <w:pStyle w:val="BodyText"/>
      </w:pPr>
      <w:r>
        <w:t xml:space="preserve">Appliqué aux 127 appartements en stock, ce modèle sert de détecteur. Au seuil d’une erreur</w:t>
      </w:r>
      <w:r>
        <w:t xml:space="preserve"> </w:t>
      </w:r>
      <w:r>
        <w:t xml:space="preserve">type, 103 lots sont dans le marché, 8 se situent au-dessus du prix estimé et 16 en dessous.</w:t>
      </w:r>
      <w:r>
        <w:t xml:space="preserve"> </w:t>
      </w:r>
      <w:r>
        <w:t xml:space="preserve">La Figure 2.7 confronte le prix de grille au prix de marché estimé et matérialise cette</w:t>
      </w:r>
      <w:r>
        <w:t xml:space="preserve"> </w:t>
      </w:r>
      <w:r>
        <w:t xml:space="preserve">bande de tolérance.</w:t>
      </w:r>
    </w:p>
    <w:p>
      <w:pPr>
        <w:pStyle w:val="CaptionedFigure"/>
      </w:pPr>
      <w:r>
        <w:drawing>
          <wp:inline>
            <wp:extent cx="4693920" cy="1843011"/>
            <wp:effectExtent b="0" l="0" r="0" t="0"/>
            <wp:docPr descr="Stock d’appartements : prix de grille contre prix de marché estimé, avec la bande à plus ou moins une erreur type" title="" id="51" name="Picture"/>
            <a:graphic>
              <a:graphicData uri="http://schemas.openxmlformats.org/drawingml/2006/picture">
                <pic:pic>
                  <pic:nvPicPr>
                    <pic:cNvPr descr="figures/fig_2_7_stock_prix_marche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1843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2.7 – Stock d’appartements : prix de grille contre prix de marché estimé, avec la bande à plus ou moins une erreur type</w:t>
      </w:r>
    </w:p>
    <w:p>
      <w:pPr>
        <w:pStyle w:val="BodyText"/>
      </w:pPr>
      <w:r>
        <w:t xml:space="preserve">La recommandation de remise est ensuite posée comme une petite optimisation sous</w:t>
      </w:r>
      <w:r>
        <w:t xml:space="preserve"> </w:t>
      </w:r>
      <w:r>
        <w:t xml:space="preserve">contrainte : maximiser le revenu attendu à douze mois d’une opération, en ajustant chaque</w:t>
      </w:r>
      <w:r>
        <w:t xml:space="preserve"> </w:t>
      </w:r>
      <w:r>
        <w:t xml:space="preserve">prix dans des bornes commerciales de -10 à +5 %, sous un objectif d’accélération de</w:t>
      </w:r>
      <w:r>
        <w:t xml:space="preserve"> </w:t>
      </w:r>
      <w:r>
        <w:t xml:space="preserve">l’écoulement, la demande réagissant au prix avec une élasticité fixée à -1.</w:t>
      </w:r>
    </w:p>
    <w:p>
      <w:pPr>
        <w:pStyle w:val="BodyText"/>
      </w:pPr>
      <w:r>
        <w:t xml:space="preserve">Ce paramètre d’élasticité est la fragilité assumée de l’axe, et je préfère l’exposer que la</w:t>
      </w:r>
      <w:r>
        <w:t xml:space="preserve"> </w:t>
      </w:r>
      <w:r>
        <w:t xml:space="preserve">laisser découvrir. Mon estimation interne donne -0,81, valeur qui a le bon signe mais qui</w:t>
      </w:r>
      <w:r>
        <w:t xml:space="preserve"> </w:t>
      </w:r>
      <w:r>
        <w:t xml:space="preserve">n’est pas significative sur les 95 opérations disponibles. La valeur retenue vient donc de</w:t>
      </w:r>
      <w:r>
        <w:t xml:space="preserve"> </w:t>
      </w:r>
      <w:r>
        <w:t xml:space="preserve">la littérature sur le logement neuf, et non de nos données.</w:t>
      </w:r>
    </w:p>
    <w:p>
      <w:pPr>
        <w:pStyle w:val="BodyText"/>
      </w:pPr>
      <w:r>
        <w:t xml:space="preserve">Le résultat, lui, est robuste et contre-intuitif. À cette élasticité, la remise optimale</w:t>
      </w:r>
      <w:r>
        <w:t xml:space="preserve"> </w:t>
      </w:r>
      <w:r>
        <w:t xml:space="preserve">est uniforme en euros sur tous les lots, de l’ordre de 23 k€ par lot sur l’opération</w:t>
      </w:r>
      <w:r>
        <w:t xml:space="preserve"> </w:t>
      </w:r>
      <w:r>
        <w:t xml:space="preserve">d’application. Elle est donc proportionnellement plus forte sur les petits lots, à</w:t>
      </w:r>
      <w:r>
        <w:t xml:space="preserve"> </w:t>
      </w:r>
      <w:r>
        <w:t xml:space="preserve">l’inverse de la pratique actuelle des remises accordées au cas par cas. Sur l’opération</w:t>
      </w:r>
      <w:r>
        <w:t xml:space="preserve"> </w:t>
      </w:r>
      <w:r>
        <w:t xml:space="preserve">test, qui compte 18 appartements en stock, viser +8 % d’écoulement déplace le volume</w:t>
      </w:r>
      <w:r>
        <w:t xml:space="preserve"> </w:t>
      </w:r>
      <w:r>
        <w:t xml:space="preserve">attendu de 6,8 à 7,4 lots pour un revenu quasi inchangé, en recul de 0,3 %. L’intérêt de la</w:t>
      </w:r>
      <w:r>
        <w:t xml:space="preserve"> </w:t>
      </w:r>
      <w:r>
        <w:t xml:space="preserve">manœuvre n’est donc pas le revenu immédiat mais la vitesse, et l’économie de frais de</w:t>
      </w:r>
      <w:r>
        <w:t xml:space="preserve"> </w:t>
      </w:r>
      <w:r>
        <w:t xml:space="preserve">portage que l’objectif ne compte pas.</w:t>
      </w:r>
    </w:p>
    <w:bookmarkEnd w:id="53"/>
    <w:bookmarkStart w:id="54" w:name="signaux-faibles-texte-et-réseau"/>
    <w:p>
      <w:pPr>
        <w:pStyle w:val="Heading3"/>
      </w:pPr>
      <w:r>
        <w:t xml:space="preserve">2.4.6 Signaux faibles (texte et réseau)</w:t>
      </w:r>
    </w:p>
    <w:p>
      <w:pPr>
        <w:pStyle w:val="FirstParagraph"/>
      </w:pPr>
      <w:r>
        <w:t xml:space="preserve">Trois constats simples, obtenus avec des moyens simples, complètent le dispositif.</w:t>
      </w:r>
    </w:p>
    <w:p>
      <w:pPr>
        <w:pStyle w:val="BodyText"/>
      </w:pPr>
      <w:r>
        <w:t xml:space="preserve">Le premier est un moteur de recherche par similarité, construit sur les 9 688 commentaires</w:t>
      </w:r>
      <w:r>
        <w:t xml:space="preserve"> </w:t>
      </w:r>
      <w:r>
        <w:t xml:space="preserve">libres de vente. Une requête formulée en langage courant, comme « refus de prêt banque » ou</w:t>
      </w:r>
      <w:r>
        <w:t xml:space="preserve"> </w:t>
      </w:r>
      <w:r>
        <w:t xml:space="preserve">« remise prix hors pack », remonte les dossiers concernés. C’est un outil d’audit des</w:t>
      </w:r>
      <w:r>
        <w:t xml:space="preserve"> </w:t>
      </w:r>
      <w:r>
        <w:t xml:space="preserve">remises non structurées réellement utilisable, dans un contexte où ces remises ne font</w:t>
      </w:r>
      <w:r>
        <w:t xml:space="preserve"> </w:t>
      </w:r>
      <w:r>
        <w:t xml:space="preserve">l’objet d’aucun champ dédié.</w:t>
      </w:r>
    </w:p>
    <w:p>
      <w:pPr>
        <w:pStyle w:val="BodyText"/>
      </w:pPr>
      <w:r>
        <w:t xml:space="preserve">Le deuxième porte sur les motifs de désistement, analysés par agence. Le profil obtenu</w:t>
      </w:r>
      <w:r>
        <w:t xml:space="preserve"> </w:t>
      </w:r>
      <w:r>
        <w:t xml:space="preserve">révèle un problème de qualité de saisie plus qu’un fait commercial : à Salon-de-Provence,</w:t>
      </w:r>
      <w:r>
        <w:t xml:space="preserve"> </w:t>
      </w:r>
      <w:r>
        <w:t xml:space="preserve">90 % des motifs sont enregistrés en « Autres motifs », ce qui rend les désistements de</w:t>
      </w:r>
      <w:r>
        <w:t xml:space="preserve"> </w:t>
      </w:r>
      <w:r>
        <w:t xml:space="preserve">cette agence inanalysables tant que la saisie n’est pas fiabilisée. Ce constat n’est pas un</w:t>
      </w:r>
      <w:r>
        <w:t xml:space="preserve"> </w:t>
      </w:r>
      <w:r>
        <w:t xml:space="preserve">résultat d’analyse au sens strict, mais c’est une information directement actionnable, et</w:t>
      </w:r>
      <w:r>
        <w:t xml:space="preserve"> </w:t>
      </w:r>
      <w:r>
        <w:t xml:space="preserve">elle n’aurait pas été visible sans ce travail.</w:t>
      </w:r>
    </w:p>
    <w:p>
      <w:pPr>
        <w:pStyle w:val="BodyText"/>
      </w:pPr>
      <w:r>
        <w:t xml:space="preserve">Le troisième porte sur la structure du réseau de vente, qui se révèle très concentrée. Deux</w:t>
      </w:r>
      <w:r>
        <w:t xml:space="preserve"> </w:t>
      </w:r>
      <w:r>
        <w:t xml:space="preserve">acteurs, le réseau interne et un prescripteur externe, portent à eux seuls 51,6 % des</w:t>
      </w:r>
      <w:r>
        <w:t xml:space="preserve"> </w:t>
      </w:r>
      <w:r>
        <w:t xml:space="preserve">dossiers attribués, avec des taux de désistement allant du simple au triple : 9 % pour le</w:t>
      </w:r>
      <w:r>
        <w:t xml:space="preserve"> </w:t>
      </w:r>
      <w:r>
        <w:t xml:space="preserve">réseau interne contre 29,6 % pour le prescripteur externe. L’écart a une traduction</w:t>
      </w:r>
      <w:r>
        <w:t xml:space="preserve"> </w:t>
      </w:r>
      <w:r>
        <w:t xml:space="preserve">financière immédiate, puisque chaque commission versée sur un dossier qui n’aboutit pas est</w:t>
      </w:r>
      <w:r>
        <w:t xml:space="preserve"> </w:t>
      </w:r>
      <w:r>
        <w:t xml:space="preserve">une dépense sans recette.</w:t>
      </w:r>
    </w:p>
    <w:p>
      <w:pPr>
        <w:pStyle w:val="BodyText"/>
      </w:pPr>
      <w:r>
        <w:t xml:space="preserve">J’ai enfin tenté de prédire le désistement à partir du seul texte du commentaire, avec un</w:t>
      </w:r>
      <w:r>
        <w:t xml:space="preserve"> </w:t>
      </w:r>
      <w:r>
        <w:t xml:space="preserve">contrôle de fuite soigneux pour ne pas utiliser d’information postérieure au désistement.</w:t>
      </w:r>
      <w:r>
        <w:t xml:space="preserve"> </w:t>
      </w:r>
      <w:r>
        <w:t xml:space="preserve">Le résultat plafonne à un score F1 de 0,34 : le texte seul ne suffit pas, et il est donc</w:t>
      </w:r>
      <w:r>
        <w:t xml:space="preserve"> </w:t>
      </w:r>
      <w:r>
        <w:t xml:space="preserve">traité comme un signal d’appoint et non comme un prédicteur.</w:t>
      </w:r>
    </w:p>
    <w:bookmarkEnd w:id="54"/>
    <w:bookmarkEnd w:id="55"/>
    <w:bookmarkStart w:id="62" w:name="plateforme-streamlit"/>
    <w:p>
      <w:pPr>
        <w:pStyle w:val="Heading2"/>
      </w:pPr>
      <w:r>
        <w:t xml:space="preserve">2.5 Plateforme Streamlit</w:t>
      </w:r>
    </w:p>
    <w:p>
      <w:pPr>
        <w:pStyle w:val="FirstParagraph"/>
      </w:pPr>
      <w:r>
        <w:t xml:space="preserve">L’application finale est la meilleure réponse au risque de sur-complexité que j’évoquais en</w:t>
      </w:r>
      <w:r>
        <w:t xml:space="preserve"> </w:t>
      </w:r>
      <w:r>
        <w:t xml:space="preserve">ouverture de ce chapitre : ce qui est livré au métier est simple. Cinq pages, un périmètre</w:t>
      </w:r>
      <w:r>
        <w:t xml:space="preserve"> </w:t>
      </w:r>
      <w:r>
        <w:t xml:space="preserve">restreint aux 147 opérations de promotion, et aucun terme de modélisation à l’écran.</w:t>
      </w:r>
    </w:p>
    <w:p>
      <w:pPr>
        <w:pStyle w:val="BodyText"/>
      </w:pPr>
      <w:r>
        <w:t xml:space="preserve">La page</w:t>
      </w:r>
      <w:r>
        <w:t xml:space="preserve"> </w:t>
      </w:r>
      <w:r>
        <w:rPr>
          <w:bCs/>
          <w:b/>
        </w:rPr>
        <w:t xml:space="preserve">Vue d’ensemble</w:t>
      </w:r>
      <w:r>
        <w:t xml:space="preserve">, présentée en Figure 2.8, donne la situation en quelques</w:t>
      </w:r>
      <w:r>
        <w:t xml:space="preserve"> </w:t>
      </w:r>
      <w:r>
        <w:t xml:space="preserve">secondes : 147 opérations suivies, dont 10 en alerte et 2 à surveiller parmi les 68</w:t>
      </w:r>
      <w:r>
        <w:t xml:space="preserve"> </w:t>
      </w:r>
      <w:r>
        <w:t xml:space="preserve">opérations en cours suffisamment engagées, 421 lots principaux en stock, un rythme récent</w:t>
      </w:r>
      <w:r>
        <w:t xml:space="preserve"> </w:t>
      </w:r>
      <w:r>
        <w:t xml:space="preserve">de 4,8 réservations par opération et par mois, pour un taux de crédit à 3,11 %.</w:t>
      </w:r>
    </w:p>
    <w:p>
      <w:pPr>
        <w:pStyle w:val="CaptionedFigure"/>
      </w:pPr>
      <w:r>
        <w:drawing>
          <wp:inline>
            <wp:extent cx="5334000" cy="3889375"/>
            <wp:effectExtent b="0" l="0" r="0" t="0"/>
            <wp:docPr descr="Plateforme, page « Vue d’ensemble »" title="" id="57" name="Picture"/>
            <a:graphic>
              <a:graphicData uri="http://schemas.openxmlformats.org/drawingml/2006/picture">
                <pic:pic>
                  <pic:nvPicPr>
                    <pic:cNvPr descr="figures/fig_2_8_plateforme_vue_ensembl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9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2.8 – Plateforme, page « Vue d’ensemble »</w:t>
      </w:r>
    </w:p>
    <w:p>
      <w:pPr>
        <w:pStyle w:val="BodyText"/>
      </w:pPr>
      <w:r>
        <w:t xml:space="preserve">La page</w:t>
      </w:r>
      <w:r>
        <w:t xml:space="preserve"> </w:t>
      </w:r>
      <w:r>
        <w:rPr>
          <w:bCs/>
          <w:b/>
        </w:rPr>
        <w:t xml:space="preserve">Alertes marge</w:t>
      </w:r>
      <w:r>
        <w:t xml:space="preserve">, présentée en Figure 2.9, classe les opérations par niveau</w:t>
      </w:r>
      <w:r>
        <w:t xml:space="preserve"> </w:t>
      </w:r>
      <w:r>
        <w:t xml:space="preserve">d’alerte, le score de l’axe A étant traduit en trois niveaux. Elle affiche surtout, pour</w:t>
      </w:r>
      <w:r>
        <w:t xml:space="preserve"> </w:t>
      </w:r>
      <w:r>
        <w:t xml:space="preserve">chaque opération, les dépassements déjà engagés en euros et les postes concernés. C’est la</w:t>
      </w:r>
      <w:r>
        <w:t xml:space="preserve"> </w:t>
      </w:r>
      <w:r>
        <w:t xml:space="preserve">page la plus consultée, et il faut redire qu’elle repose sur du SQL et non sur un modèle.</w:t>
      </w:r>
    </w:p>
    <w:p>
      <w:pPr>
        <w:pStyle w:val="CaptionedFigure"/>
      </w:pPr>
      <w:r>
        <w:drawing>
          <wp:inline>
            <wp:extent cx="5334000" cy="3889375"/>
            <wp:effectExtent b="0" l="0" r="0" t="0"/>
            <wp:docPr descr="Plateforme, page « Alertes marge » : niveaux d’alerte et dépassements engagés en euros" title="" id="60" name="Picture"/>
            <a:graphic>
              <a:graphicData uri="http://schemas.openxmlformats.org/drawingml/2006/picture">
                <pic:pic>
                  <pic:nvPicPr>
                    <pic:cNvPr descr="figures/fig_2_9_plateforme_alertes_marge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9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2.9 – Plateforme, page « Alertes marge » : niveaux d’alerte et dépassements engagés en euros</w:t>
      </w:r>
    </w:p>
    <w:p>
      <w:pPr>
        <w:pStyle w:val="BodyText"/>
      </w:pPr>
      <w:r>
        <w:t xml:space="preserve">Les trois autres pages transposent les axes restants. La page</w:t>
      </w:r>
      <w:r>
        <w:t xml:space="preserve"> </w:t>
      </w:r>
      <w:r>
        <w:rPr>
          <w:bCs/>
          <w:b/>
        </w:rPr>
        <w:t xml:space="preserve">Rythme de vente</w:t>
      </w:r>
      <w:r>
        <w:t xml:space="preserve"> </w:t>
      </w:r>
      <w:r>
        <w:t xml:space="preserve">fait de</w:t>
      </w:r>
      <w:r>
        <w:t xml:space="preserve"> </w:t>
      </w:r>
      <w:r>
        <w:t xml:space="preserve">l’axe B un simulateur : un curseur de taux 2026 produit une phrase de résultat fondée sur</w:t>
      </w:r>
      <w:r>
        <w:t xml:space="preserve"> </w:t>
      </w:r>
      <w:r>
        <w:t xml:space="preserve">l’élasticité du panel, et la trajectoire d’écoulement de chaque programme donne son délai</w:t>
      </w:r>
      <w:r>
        <w:t xml:space="preserve"> </w:t>
      </w:r>
      <w:r>
        <w:t xml:space="preserve">estimé. La page</w:t>
      </w:r>
      <w:r>
        <w:t xml:space="preserve"> </w:t>
      </w:r>
      <w:r>
        <w:rPr>
          <w:bCs/>
          <w:b/>
        </w:rPr>
        <w:t xml:space="preserve">Pilotage des prix</w:t>
      </w:r>
      <w:r>
        <w:t xml:space="preserve"> </w:t>
      </w:r>
      <w:r>
        <w:t xml:space="preserve">affiche le diagnostic du stock et la grille</w:t>
      </w:r>
      <w:r>
        <w:t xml:space="preserve"> </w:t>
      </w:r>
      <w:r>
        <w:t xml:space="preserve">d’ajustement recommandée sous un objectif d’accélération choisi au curseur. La page</w:t>
      </w:r>
      <w:r>
        <w:t xml:space="preserve"> </w:t>
      </w:r>
      <w:r>
        <w:rPr>
          <w:bCs/>
          <w:b/>
        </w:rPr>
        <w:t xml:space="preserve">Qualité commerciale</w:t>
      </w:r>
      <w:r>
        <w:t xml:space="preserve"> </w:t>
      </w:r>
      <w:r>
        <w:t xml:space="preserve">reprend les signaux faibles, alerte de saisie comprise.</w:t>
      </w:r>
    </w:p>
    <w:p>
      <w:pPr>
        <w:pStyle w:val="BodyText"/>
      </w:pPr>
      <w:r>
        <w:t xml:space="preserve">Chaque page a été vérifiée par le cadre de test de Streamlit, en contrôlant qu’elle</w:t>
      </w:r>
      <w:r>
        <w:t xml:space="preserve"> </w:t>
      </w:r>
      <w:r>
        <w:t xml:space="preserve">s’exécute sans exception, y compris aux bornes des curseurs et sur les sélections vides. Et</w:t>
      </w:r>
      <w:r>
        <w:t xml:space="preserve"> </w:t>
      </w:r>
      <w:r>
        <w:t xml:space="preserve">l’ensemble se reconstruit depuis les exports bruts, conformément à l’exigence de</w:t>
      </w:r>
      <w:r>
        <w:t xml:space="preserve"> </w:t>
      </w:r>
      <w:r>
        <w:t xml:space="preserve">reproductibilité posée au départ.</w:t>
      </w:r>
    </w:p>
    <w:bookmarkEnd w:id="62"/>
    <w:bookmarkStart w:id="63" w:name="périmètre-et-limites"/>
    <w:p>
      <w:pPr>
        <w:pStyle w:val="Heading2"/>
      </w:pPr>
      <w:r>
        <w:t xml:space="preserve">2.6 Périmètre et limites</w:t>
      </w:r>
    </w:p>
    <w:p>
      <w:pPr>
        <w:pStyle w:val="FirstParagraph"/>
      </w:pPr>
      <w:r>
        <w:t xml:space="preserve">Je considère que l’énoncé des limites fait partie du livrable, au même titre que les</w:t>
      </w:r>
      <w:r>
        <w:t xml:space="preserve"> </w:t>
      </w:r>
      <w:r>
        <w:t xml:space="preserve">résultats. Les présenter comme telles est aussi ce qui permet à la direction financière de</w:t>
      </w:r>
      <w:r>
        <w:t xml:space="preserve"> </w:t>
      </w:r>
      <w:r>
        <w:t xml:space="preserve">savoir jusqu’où elle peut s’appuyer sur l’outil.</w:t>
      </w:r>
    </w:p>
    <w:p>
      <w:pPr>
        <w:pStyle w:val="BodyText"/>
      </w:pPr>
      <w:r>
        <w:t xml:space="preserve">La limite principale est structurelle et commande la suite du projet : les données</w:t>
      </w:r>
      <w:r>
        <w:t xml:space="preserve"> </w:t>
      </w:r>
      <w:r>
        <w:t xml:space="preserve">budgétaires sont une photographie à date, sans historique des révisions. C’est elle qui</w:t>
      </w:r>
      <w:r>
        <w:t xml:space="preserve"> </w:t>
      </w:r>
      <w:r>
        <w:t xml:space="preserve">plafonne l’axe A, avec un coefficient de détermination de 0,08 en régression et des scores</w:t>
      </w:r>
      <w:r>
        <w:t xml:space="preserve"> </w:t>
      </w:r>
      <w:r>
        <w:t xml:space="preserve">F1 de l’ordre de 0,3 en classification. On ne peut pas apprendre la dynamique d’une dérive</w:t>
      </w:r>
      <w:r>
        <w:t xml:space="preserve"> </w:t>
      </w:r>
      <w:r>
        <w:t xml:space="preserve">sur une image fixe. Ma première recommandation à l’entreprise est donc d’historiser les</w:t>
      </w:r>
      <w:r>
        <w:t xml:space="preserve"> </w:t>
      </w:r>
      <w:r>
        <w:t xml:space="preserve">exports mensuels dans le nouvel ERP : au bout d’un an, le score statique deviendra un</w:t>
      </w:r>
      <w:r>
        <w:t xml:space="preserve"> </w:t>
      </w:r>
      <w:r>
        <w:t xml:space="preserve">véritable suivi de trajectoire.</w:t>
      </w:r>
    </w:p>
    <w:p>
      <w:pPr>
        <w:pStyle w:val="BodyText"/>
      </w:pPr>
      <w:r>
        <w:t xml:space="preserve">Les autres limites sont assumées et documentées :</w:t>
      </w:r>
    </w:p>
    <w:p>
      <w:pPr>
        <w:numPr>
          <w:ilvl w:val="0"/>
          <w:numId w:val="1008"/>
        </w:numPr>
        <w:pStyle w:val="Compact"/>
      </w:pPr>
      <w:r>
        <w:t xml:space="preserve">L’échantillon de l’axe A est petit, 123 opérations, et les écarts entre modèles y sont</w:t>
      </w:r>
      <w:r>
        <w:t xml:space="preserve"> </w:t>
      </w:r>
      <w:r>
        <w:t xml:space="preserve">indiscernables ; c’est ce qui a motivé le choix d’un modèle interprétable unique plutôt</w:t>
      </w:r>
      <w:r>
        <w:t xml:space="preserve"> </w:t>
      </w:r>
      <w:r>
        <w:t xml:space="preserve">qu’une sélection par performance.</w:t>
      </w:r>
    </w:p>
    <w:p>
      <w:pPr>
        <w:numPr>
          <w:ilvl w:val="0"/>
          <w:numId w:val="1008"/>
        </w:numPr>
        <w:pStyle w:val="Compact"/>
      </w:pPr>
      <w:r>
        <w:t xml:space="preserve">L’élasticité de l’axe C n’a pas pu être estimée significativement en interne et vient de</w:t>
      </w:r>
      <w:r>
        <w:t xml:space="preserve"> </w:t>
      </w:r>
      <w:r>
        <w:t xml:space="preserve">la littérature. Les recommandations de prix sont donc des aides à la décision, non</w:t>
      </w:r>
      <w:r>
        <w:t xml:space="preserve"> </w:t>
      </w:r>
      <w:r>
        <w:t xml:space="preserve">opposables, et la grille reste sous le contrôle de la direction commerciale.</w:t>
      </w:r>
    </w:p>
    <w:p>
      <w:pPr>
        <w:numPr>
          <w:ilvl w:val="0"/>
          <w:numId w:val="1008"/>
        </w:numPr>
        <w:pStyle w:val="Compact"/>
      </w:pPr>
      <w:r>
        <w:t xml:space="preserve">Les intervalles de prévision de l’axe B ignorent l’incertitude sur les taux futurs</w:t>
      </w:r>
      <w:r>
        <w:t xml:space="preserve"> </w:t>
      </w:r>
      <w:r>
        <w:t xml:space="preserve">eux-mêmes, ce qui est précisément la raison pour laquelle la plateforme présente des</w:t>
      </w:r>
      <w:r>
        <w:t xml:space="preserve"> </w:t>
      </w:r>
      <w:r>
        <w:t xml:space="preserve">scénarios plutôt qu’une prévision unique.</w:t>
      </w:r>
    </w:p>
    <w:p>
      <w:pPr>
        <w:numPr>
          <w:ilvl w:val="0"/>
          <w:numId w:val="1008"/>
        </w:numPr>
        <w:pStyle w:val="Compact"/>
      </w:pPr>
      <w:r>
        <w:t xml:space="preserve">Le texte des commentaires est un signal d’appoint, et non un prédicteur.</w:t>
      </w:r>
    </w:p>
    <w:p>
      <w:pPr>
        <w:pStyle w:val="FirstParagraph"/>
      </w:pPr>
      <w:r>
        <w:t xml:space="preserve">Enfin, la plateforme couvre la promotion, soit 147 opérations, et exclut l’aménagement</w:t>
      </w:r>
      <w:r>
        <w:t xml:space="preserve"> </w:t>
      </w:r>
      <w:r>
        <w:t xml:space="preserve">foncier, dont la logique économique justifierait un traitement dédié. L’analyse, elle,</w:t>
      </w:r>
      <w:r>
        <w:t xml:space="preserve"> </w:t>
      </w:r>
      <w:r>
        <w:t xml:space="preserve">couvre bien les 267 opérations. Il est intéressant de noter que la frontière entre les deux</w:t>
      </w:r>
      <w:r>
        <w:t xml:space="preserve"> </w:t>
      </w:r>
      <w:r>
        <w:t xml:space="preserve">activités ressort d’elle-même dès l’analyse exploratoire, ce qui constitue une validation</w:t>
      </w:r>
      <w:r>
        <w:t xml:space="preserve"> </w:t>
      </w:r>
      <w:r>
        <w:t xml:space="preserve">involontaire du choix de périmètre demandé par l’entreprise.</w:t>
      </w:r>
    </w:p>
    <w:bookmarkEnd w:id="63"/>
    <w:bookmarkStart w:id="64" w:name="Xa8e7a5bd3a8e7d44c83c8c60c85d0987f92cedc"/>
    <w:p>
      <w:pPr>
        <w:pStyle w:val="Heading2"/>
      </w:pPr>
      <w:r>
        <w:t xml:space="preserve">2.7 Conclusion du chapitre et conclusion générale</w:t>
      </w:r>
    </w:p>
    <w:p>
      <w:pPr>
        <w:pStyle w:val="FirstParagraph"/>
      </w:pPr>
      <w:r>
        <w:t xml:space="preserve">Le Copilote Financier répond aux trois questions posées en ouverture, mais il n’y répond</w:t>
      </w:r>
      <w:r>
        <w:t xml:space="preserve"> </w:t>
      </w:r>
      <w:r>
        <w:t xml:space="preserve">pas avec la même force, et je crois qu’il est plus honnête de le dire que de présenter un</w:t>
      </w:r>
      <w:r>
        <w:t xml:space="preserve"> </w:t>
      </w:r>
      <w:r>
        <w:t xml:space="preserve">ensemble homogène. L’axe B est solide : l’effet du taux d’intérêt sur le rythme de</w:t>
      </w:r>
      <w:r>
        <w:t xml:space="preserve"> </w:t>
      </w:r>
      <w:r>
        <w:t xml:space="preserve">réservation est mesuré, séparé de l’effet propre à chaque programme, et confirmé par un</w:t>
      </w:r>
      <w:r>
        <w:t xml:space="preserve"> </w:t>
      </w:r>
      <w:r>
        <w:t xml:space="preserve">garde-fou méthodologique qui aurait pu l’invalider. L’axe C est lisible et directement</w:t>
      </w:r>
      <w:r>
        <w:t xml:space="preserve"> </w:t>
      </w:r>
      <w:r>
        <w:t xml:space="preserve">discutable avec la direction commerciale, à la réserve près d’un paramètre d’élasticité</w:t>
      </w:r>
      <w:r>
        <w:t xml:space="preserve"> </w:t>
      </w:r>
      <w:r>
        <w:t xml:space="preserve">emprunté à la littérature. L’axe A, enfin, ne dépasse pas le stade du score de tri, et sa</w:t>
      </w:r>
      <w:r>
        <w:t xml:space="preserve"> </w:t>
      </w:r>
      <w:r>
        <w:t xml:space="preserve">partie la plus utilisée n’est pas un modèle mais une requête SQL.</w:t>
      </w:r>
    </w:p>
    <w:p>
      <w:pPr>
        <w:pStyle w:val="BodyText"/>
      </w:pPr>
      <w:r>
        <w:t xml:space="preserve">Ce déséquilibre n’est pas un accident de parcours, c’est une conséquence directe de la</w:t>
      </w:r>
      <w:r>
        <w:t xml:space="preserve"> </w:t>
      </w:r>
      <w:r>
        <w:t xml:space="preserve">donnée disponible. Là où j’avais une profondeur temporelle, le modèle a produit un résultat</w:t>
      </w:r>
      <w:r>
        <w:t xml:space="preserve"> </w:t>
      </w:r>
      <w:r>
        <w:t xml:space="preserve">exploitable ; là où je n’avais qu’une photographie à date, il n’a pas pu en produire. Cette</w:t>
      </w:r>
      <w:r>
        <w:t xml:space="preserve"> </w:t>
      </w:r>
      <w:r>
        <w:t xml:space="preserve">observation est, pour moi, l’apport principal du projet, et elle rejoint la thèse que</w:t>
      </w:r>
      <w:r>
        <w:t xml:space="preserve"> </w:t>
      </w:r>
      <w:r>
        <w:t xml:space="preserve">j’avançais en fin de mémoire de mi-parcours : la structure de la donnée commande ce que la</w:t>
      </w:r>
      <w:r>
        <w:t xml:space="preserve"> </w:t>
      </w:r>
      <w:r>
        <w:t xml:space="preserve">modélisation peut en tirer.</w:t>
      </w:r>
    </w:p>
    <w:p>
      <w:pPr>
        <w:pStyle w:val="BodyText"/>
      </w:pPr>
      <w:r>
        <w:t xml:space="preserve">Les deux chapitres de ce mémoire se répondent précisément sur ce point. Le premier raconte</w:t>
      </w:r>
      <w:r>
        <w:t xml:space="preserve"> </w:t>
      </w:r>
      <w:r>
        <w:t xml:space="preserve">la reconstitution d’un référentiel client dans un nouvel ERP, avec ses clés d’unicité, ses</w:t>
      </w:r>
      <w:r>
        <w:t xml:space="preserve"> </w:t>
      </w:r>
      <w:r>
        <w:t xml:space="preserve">contournements de format et ses arbitrages documentés. Le second raconte ce que l’on peut</w:t>
      </w:r>
      <w:r>
        <w:t xml:space="preserve"> </w:t>
      </w:r>
      <w:r>
        <w:t xml:space="preserve">faire d’un patrimoine de données une fois qu’il est fiable, et ce que l’on ne peut pas en</w:t>
      </w:r>
      <w:r>
        <w:t xml:space="preserve"> </w:t>
      </w:r>
      <w:r>
        <w:t xml:space="preserve">faire lorsqu’il lui manque une dimension. Le lien entre les deux n’est pas rhétorique : les</w:t>
      </w:r>
      <w:r>
        <w:t xml:space="preserve"> </w:t>
      </w:r>
      <w:r>
        <w:t xml:space="preserve">recommandations qui terminent le chapitre 2, historiser les exports mensuels et fiabiliser</w:t>
      </w:r>
      <w:r>
        <w:t xml:space="preserve"> </w:t>
      </w:r>
      <w:r>
        <w:t xml:space="preserve">la saisie des motifs de désistement, sont exactement de la même nature que le travail</w:t>
      </w:r>
      <w:r>
        <w:t xml:space="preserve"> </w:t>
      </w:r>
      <w:r>
        <w:t xml:space="preserve">décrit au chapitre 1. Ce sont des travaux de structure, faits pour rendre possible une</w:t>
      </w:r>
      <w:r>
        <w:t xml:space="preserve"> </w:t>
      </w:r>
      <w:r>
        <w:t xml:space="preserve">analyse à venir.</w:t>
      </w:r>
    </w:p>
    <w:p>
      <w:pPr>
        <w:pStyle w:val="BodyText"/>
      </w:pPr>
      <w:r>
        <w:t xml:space="preserve">Cette année d’alternance m’aura donc fait parcourir un cycle complet. Le premier semestre a</w:t>
      </w:r>
      <w:r>
        <w:t xml:space="preserve"> </w:t>
      </w:r>
      <w:r>
        <w:t xml:space="preserve">été celui de l’ingénierie des données, avec la migration vers SPO, ses dépendances</w:t>
      </w:r>
      <w:r>
        <w:t xml:space="preserve"> </w:t>
      </w:r>
      <w:r>
        <w:t xml:space="preserve">hiérarchiques, ses identifiants dynamiques et sa stratégie de déploiement en coquilles</w:t>
      </w:r>
      <w:r>
        <w:t xml:space="preserve"> </w:t>
      </w:r>
      <w:r>
        <w:t xml:space="preserve">vides. La reprise des tiers, exposée au chapitre 1, en a été le prolongement direct et,</w:t>
      </w:r>
      <w:r>
        <w:t xml:space="preserve"> </w:t>
      </w:r>
      <w:r>
        <w:t xml:space="preserve">d’une certaine manière, l’aboutissement, puisqu’elle a achevé de constituer le socle</w:t>
      </w:r>
      <w:r>
        <w:t xml:space="preserve"> </w:t>
      </w:r>
      <w:r>
        <w:t xml:space="preserve">commercial du nouvel outil. Le second semestre a été celui de la valorisation, avec un</w:t>
      </w:r>
      <w:r>
        <w:t xml:space="preserve"> </w:t>
      </w:r>
      <w:r>
        <w:t xml:space="preserve">projet de Data Science mené de bout en bout, de la compréhension des exports jusqu’à une</w:t>
      </w:r>
      <w:r>
        <w:t xml:space="preserve"> </w:t>
      </w:r>
      <w:r>
        <w:t xml:space="preserve">application utilisée par la direction financière.</w:t>
      </w:r>
    </w:p>
    <w:p>
      <w:pPr>
        <w:pStyle w:val="BodyText"/>
      </w:pPr>
      <w:r>
        <w:t xml:space="preserve">Ce que je retire de ce parcours tient en peu de mots. Un projet de données ne se joue pas</w:t>
      </w:r>
      <w:r>
        <w:t xml:space="preserve"> </w:t>
      </w:r>
      <w:r>
        <w:t xml:space="preserve">au moment du choix de l’algorithme mais bien avant, lorsqu’on décide ce qu’est un client,</w:t>
      </w:r>
      <w:r>
        <w:t xml:space="preserve"> </w:t>
      </w:r>
      <w:r>
        <w:t xml:space="preserve">ce qu’est une marge, ou ce que contient réellement un fichier dont le nom annonce autre</w:t>
      </w:r>
      <w:r>
        <w:t xml:space="preserve"> </w:t>
      </w:r>
      <w:r>
        <w:t xml:space="preserve">chose. Ce sont des décisions modestes en apparence, invisibles dans le résultat final, et</w:t>
      </w:r>
      <w:r>
        <w:t xml:space="preserve"> </w:t>
      </w:r>
      <w:r>
        <w:t xml:space="preserve">pourtant ce sont elles qui déterminent si le résultat vaut quelque chose. Le métier de</w:t>
      </w:r>
      <w:r>
        <w:t xml:space="preserve"> </w:t>
      </w:r>
      <w:r>
        <w:t xml:space="preserve">gestionnaire d’information, tel que je l’ai pratiqué cette année, consiste largement à</w:t>
      </w:r>
      <w:r>
        <w:t xml:space="preserve"> </w:t>
      </w:r>
      <w:r>
        <w:t xml:space="preserve">prendre ces décisions-là, à les écrire, et à les rendre vérifiables par d’autres.</w:t>
      </w:r>
    </w:p>
    <w:p>
      <w:pPr>
        <w:pStyle w:val="BodyText"/>
      </w:pPr>
      <w:r>
        <w:t xml:space="preserve">Il reste évidemment beaucoup à faire. La migration vers SPO n’est pas achevée, l’historique</w:t>
      </w:r>
      <w:r>
        <w:t xml:space="preserve"> </w:t>
      </w:r>
      <w:r>
        <w:t xml:space="preserve">budgétaire reste à reprendre, et le Copilote Financier ne deviendra un véritable outil de</w:t>
      </w:r>
      <w:r>
        <w:t xml:space="preserve"> </w:t>
      </w:r>
      <w:r>
        <w:t xml:space="preserve">suivi que lorsque les exports auront été historisés sur une durée suffisante. Mais les deux</w:t>
      </w:r>
      <w:r>
        <w:t xml:space="preserve"> </w:t>
      </w:r>
      <w:r>
        <w:t xml:space="preserve">chantiers avancent désormais dans le même sens, et c’est cette convergence entre la</w:t>
      </w:r>
      <w:r>
        <w:t xml:space="preserve"> </w:t>
      </w:r>
      <w:r>
        <w:t xml:space="preserve">structuration technique des données et leur valorisation statistique qui aura constitué le</w:t>
      </w:r>
      <w:r>
        <w:t xml:space="preserve"> </w:t>
      </w:r>
      <w:r>
        <w:t xml:space="preserve">fil conducteur de mon année de Master 2.</w:t>
      </w:r>
    </w:p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6" Target="media/rId56.png" /><Relationship Type="http://schemas.openxmlformats.org/officeDocument/2006/relationships/image" Id="rId59" Target="media/rId5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 Copilote Financier</dc:title>
  <dc:creator>Yasmina Saoud</dc:creator>
  <dc:language>fr</dc:language>
  <cp:keywords/>
  <dcterms:created xsi:type="dcterms:W3CDTF">2026-08-17T21:32:06Z</dcterms:created>
  <dcterms:modified xsi:type="dcterms:W3CDTF">2026-08-17T21:32:06Z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hapoffset">
    <vt:lpwstr>1</vt:lpwstr>
  </property>
  <property fmtid="{D5CDD505-2E9C-101B-9397-08002B2CF9AE}" pid="3" name="date">
    <vt:lpwstr/>
  </property>
</Properties>
</file>