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CRM Vadimm vers le nouvel ERP du groupe, SPO. Cette mission, conduite au second</w:t>
      </w:r>
      <w:r>
        <w:t xml:space="preserve"> </w:t>
      </w:r>
      <w:r>
        <w:t xml:space="preserve">semestre, prolonge directement le chantier de migration exposé dans mon mémoire de</w:t>
      </w:r>
      <w:r>
        <w:t xml:space="preserve"> </w:t>
      </w:r>
      <w:r>
        <w:t xml:space="preserve">mi-parcours, et elle répond au chantier d’interopérabilité entre l’ERP et le CRM que j’y</w:t>
      </w:r>
      <w:r>
        <w:t xml:space="preserve"> </w:t>
      </w:r>
      <w:r>
        <w:t xml:space="preserve">annonçais. Elle en change 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 et de leurs tranches, il restait à reprendre les données commerciales, et en</w:t>
      </w:r>
      <w:r>
        <w:t xml:space="preserve"> </w:t>
      </w:r>
      <w:r>
        <w:t xml:space="preserve">premier lieu les clients. Dans SPO (Suivi des Programmes Opérationnels),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par objet rattaché. Six d’entre eux correspondent aux six feuilles de sortie de mon fichier,</w:t>
      </w:r>
      <w:r>
        <w:t xml:space="preserve"> </w:t>
      </w:r>
      <w:r>
        <w:t xml:space="preserve">les deux autres, les RIB et les sites web, n’étant pas alimentés par cette reprise.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1 602 lignes de départ à 1 434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1.2.2.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1.2.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représentants, de son rôle et, lorsque la source</w:t>
      </w:r>
      <w:r>
        <w:t xml:space="preserve"> </w:t>
      </w:r>
      <w:r>
        <w:t xml:space="preserve">les portait, de ses coordonnées.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La valeur de ce travail ne se mesure pas au nombre de lignes importées. Elle tient d’abord</w:t>
      </w:r>
      <w:r>
        <w:t xml:space="preserve"> </w:t>
      </w:r>
      <w:r>
        <w:t xml:space="preserve">au choix des trois clés d’unicité, qui décide de ce qu’est un client dans notre référentiel ;</w:t>
      </w:r>
      <w:r>
        <w:t xml:space="preserve"> </w:t>
      </w:r>
      <w:r>
        <w:t xml:space="preserve">ensuite à la capacité à contourner une limite de format en changeant de porte d’entrée vers</w:t>
      </w:r>
      <w:r>
        <w:t xml:space="preserve"> </w:t>
      </w:r>
      <w:r>
        <w:t xml:space="preserve">le système ; enfin à la documentation des arbitrages, qui rend la reprise vérifiable par</w:t>
      </w:r>
      <w:r>
        <w:t xml:space="preserve"> </w:t>
      </w:r>
      <w:r>
        <w:t xml:space="preserve">quelqu’un d’autre que celle qui l’a faite.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auquel ce</w:t>
      </w:r>
      <w:r>
        <w:t xml:space="preserve"> </w:t>
      </w:r>
      <w:r>
        <w:t xml:space="preserve">travail de structure ouvrait la voie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2026-08-18T07:43:48Z</dcterms:created>
  <dcterms:modified xsi:type="dcterms:W3CDTF">2026-08-18T07:43:48Z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