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2.png" ContentType="image/png"/>
  <Override PartName="/word/media/rId45.png" ContentType="image/png"/>
  <Override PartName="/word/media/rId49.png" ContentType="image/png"/>
  <Override PartName="/word/media/rId52.png" ContentType="image/png"/>
  <Override PartName="/word/media/rId56.png" ContentType="image/png"/>
  <Override PartName="/word/media/rId59.png" ContentType="image/png"/>
  <Override PartName="/word/media/rId62.png" ContentType="image/png"/>
  <Override PartName="/word/media/rId66.png" ContentType="image/png"/>
  <Override PartName="/word/media/rId69.png" ContentType="image/png"/>
  <Override PartName="/word/media/rId77.png" ContentType="image/png"/>
  <Override PartName="/word/media/rId8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  <w:r>
        <w:t xml:space="preserve"> </w:t>
      </w:r>
      <w:r>
        <w:t xml:space="preserve">:</w:t>
      </w:r>
      <w:r>
        <w:t xml:space="preserve"> </w:t>
      </w:r>
      <w:r>
        <w:t xml:space="preserve">un</w:t>
      </w:r>
      <w:r>
        <w:t xml:space="preserve"> </w:t>
      </w:r>
      <w:r>
        <w:t xml:space="preserve">outil</w:t>
      </w:r>
      <w:r>
        <w:t xml:space="preserve"> </w:t>
      </w:r>
      <w:r>
        <w:t xml:space="preserve">d’aide</w:t>
      </w:r>
      <w:r>
        <w:t xml:space="preserve"> </w:t>
      </w:r>
      <w:r>
        <w:t xml:space="preserve">à</w:t>
      </w:r>
      <w:r>
        <w:t xml:space="preserve"> </w:t>
      </w:r>
      <w:r>
        <w:t xml:space="preserve">la</w:t>
      </w:r>
      <w:r>
        <w:t xml:space="preserve"> </w:t>
      </w:r>
      <w:r>
        <w:t xml:space="preserve">décision</w:t>
      </w:r>
      <w:r>
        <w:t xml:space="preserve"> </w:t>
      </w:r>
      <w:r>
        <w:t xml:space="preserve">pour</w:t>
      </w:r>
      <w:r>
        <w:t xml:space="preserve"> </w:t>
      </w:r>
      <w:r>
        <w:t xml:space="preserve">le</w:t>
      </w:r>
      <w:r>
        <w:t xml:space="preserve"> </w:t>
      </w:r>
      <w:r>
        <w:t xml:space="preserve">pilotage</w:t>
      </w:r>
      <w:r>
        <w:t xml:space="preserve"> </w:t>
      </w:r>
      <w:r>
        <w:t xml:space="preserve">des</w:t>
      </w:r>
      <w:r>
        <w:t xml:space="preserve"> </w:t>
      </w:r>
      <w:r>
        <w:t xml:space="preserve">opérations</w:t>
      </w:r>
      <w:r>
        <w:t xml:space="preserve"> </w:t>
      </w:r>
      <w:r>
        <w:t xml:space="preserve">de</w:t>
      </w:r>
      <w:r>
        <w:t xml:space="preserve"> </w:t>
      </w:r>
      <w:r>
        <w:t xml:space="preserve">promotion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  <w:r>
        <w:t xml:space="preserve"> </w:t>
      </w:r>
      <w:r>
        <w:t xml:space="preserve">—</w:t>
      </w:r>
      <w:r>
        <w:t xml:space="preserve"> </w:t>
      </w:r>
      <w:r>
        <w:t xml:space="preserve">Master</w:t>
      </w:r>
      <w:r>
        <w:t xml:space="preserve"> </w:t>
      </w:r>
      <w:r>
        <w:t xml:space="preserve">MIASHS,</w:t>
      </w:r>
      <w:r>
        <w:t xml:space="preserve"> </w:t>
      </w:r>
      <w:r>
        <w:t xml:space="preserve">Université</w:t>
      </w:r>
      <w:r>
        <w:t xml:space="preserve"> </w:t>
      </w:r>
      <w:r>
        <w:t xml:space="preserve">Paul</w:t>
      </w:r>
      <w:r>
        <w:t xml:space="preserve"> </w:t>
      </w:r>
      <w:r>
        <w:t xml:space="preserve">Valéry</w:t>
      </w:r>
      <w:r>
        <w:t xml:space="preserve"> </w:t>
      </w:r>
      <w:r>
        <w:t xml:space="preserve">Montpellier</w:t>
      </w:r>
      <w:r>
        <w:t xml:space="preserve"> </w:t>
      </w:r>
      <w:r>
        <w:t xml:space="preserve">III</w:t>
      </w:r>
    </w:p>
    <w:p>
      <w:pPr>
        <w:pStyle w:val="Date"/>
      </w:pPr>
      <w:r>
        <w:t xml:space="preserve">Année</w:t>
      </w:r>
      <w:r>
        <w:t xml:space="preserve"> </w:t>
      </w:r>
      <w:r>
        <w:t xml:space="preserve">universitaire</w:t>
      </w:r>
      <w:r>
        <w:t xml:space="preserve"> </w:t>
      </w:r>
      <w:r>
        <w:t xml:space="preserve">2025-2026</w:t>
      </w:r>
    </w:p>
    <w:p>
      <w:pPr>
        <w:pStyle w:val="BlockText"/>
      </w:pPr>
      <w:r>
        <w:rPr>
          <w:bCs/>
          <w:b/>
        </w:rPr>
        <w:t xml:space="preserve">Note de rédaction.</w:t>
      </w:r>
      <w:r>
        <w:t xml:space="preserve"> </w:t>
      </w:r>
      <w:r>
        <w:t xml:space="preserve">Ce chapitre a été préparé avec l’aide d’un</w:t>
      </w:r>
      <w:r>
        <w:t xml:space="preserve"> </w:t>
      </w:r>
      <w:r>
        <w:t xml:space="preserve">assistant : il constitue une base de travail factuelle, à reformuler et à</w:t>
      </w:r>
      <w:r>
        <w:t xml:space="preserve"> </w:t>
      </w:r>
      <w:r>
        <w:t xml:space="preserve">s’approprier avant intégration au mémoire. Tous les chiffres proviennent</w:t>
      </w:r>
      <w:r>
        <w:t xml:space="preserve"> </w:t>
      </w:r>
      <w:r>
        <w:t xml:space="preserve">des notebooks exécutés du dépôt</w:t>
      </w:r>
      <w:r>
        <w:t xml:space="preserve"> </w:t>
      </w:r>
      <w:r>
        <w:rPr>
          <w:rStyle w:val="VerbatimChar"/>
        </w:rPr>
        <w:t xml:space="preserve">MemoireM2S2</w:t>
      </w:r>
      <w:r>
        <w:t xml:space="preserve"> </w:t>
      </w:r>
      <w:r>
        <w:t xml:space="preserve">(branche</w:t>
      </w:r>
      <w:r>
        <w:t xml:space="preserve"> </w:t>
      </w:r>
      <w:r>
        <w:rPr>
          <w:rStyle w:val="VerbatimChar"/>
        </w:rPr>
        <w:t xml:space="preserve">claude/copilote-financier-angelotti-72c614</w:t>
      </w:r>
      <w:r>
        <w:t xml:space="preserve">) ; chaque affirmation est</w:t>
      </w:r>
      <w:r>
        <w:t xml:space="preserve"> </w:t>
      </w:r>
      <w:r>
        <w:t xml:space="preserve">traçable jusqu’à une cellule de notebook, une requête SQL ou une capture</w:t>
      </w:r>
      <w:r>
        <w:t xml:space="preserve"> </w:t>
      </w:r>
      <w:r>
        <w:t xml:space="preserve">d’écran de la plateforme.</w:t>
      </w:r>
    </w:p>
    <w:p>
      <w:pPr>
        <w:pStyle w:val="FirstParagraph"/>
      </w:pPr>
      <w:r>
        <w:t xml:space="preserve">Ce chapitre présente le projet Data Science annoncé dans mon mémoire de</w:t>
      </w:r>
      <w:r>
        <w:t xml:space="preserve"> </w:t>
      </w:r>
      <w:r>
        <w:t xml:space="preserve">mi-parcours : le « Copilote Financier », un outil d’aide à la décision</w:t>
      </w:r>
      <w:r>
        <w:t xml:space="preserve"> </w:t>
      </w:r>
      <w:r>
        <w:t xml:space="preserve">construit sur les données de gestion du groupe Angelotti. Après un semestre</w:t>
      </w:r>
      <w:r>
        <w:t xml:space="preserve"> </w:t>
      </w:r>
      <w:r>
        <w:t xml:space="preserve">consacré à la fiabilisation de l’architecture de données dans le cadre de</w:t>
      </w:r>
      <w:r>
        <w:t xml:space="preserve"> </w:t>
      </w:r>
      <w:r>
        <w:t xml:space="preserve">la migration vers l’ERP SPO, ce projet marque le retour à la modélisation</w:t>
      </w:r>
      <w:r>
        <w:t xml:space="preserve"> </w:t>
      </w:r>
      <w:r>
        <w:t xml:space="preserve">statistique, en mobilisant l’ensemble des méthodes vues durant le Master</w:t>
      </w:r>
      <w:r>
        <w:t xml:space="preserve"> </w:t>
      </w:r>
      <w:r>
        <w:t xml:space="preserve">sur un cas d’entreprise réel.</w:t>
      </w:r>
    </w:p>
    <w:bookmarkStart w:id="23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t xml:space="preserve">Le groupe Angelotti conçoit, finance et commercialise des programmes</w:t>
      </w:r>
      <w:r>
        <w:t xml:space="preserve"> </w:t>
      </w:r>
      <w:r>
        <w:t xml:space="preserve">immobiliers en Occitanie et en région PACA. Chaque opération de promotion</w:t>
      </w:r>
      <w:r>
        <w:t xml:space="preserve"> </w:t>
      </w:r>
      <w:r>
        <w:t xml:space="preserve">est portée par une société dédiée (le plus souvent une SCCV) et vit sur un</w:t>
      </w:r>
      <w:r>
        <w:t xml:space="preserve"> </w:t>
      </w:r>
      <w:r>
        <w:t xml:space="preserve">cycle long : un budget prévisionnel est arrêté à l’engagement (foncier,</w:t>
      </w:r>
      <w:r>
        <w:t xml:space="preserve"> </w:t>
      </w:r>
      <w:r>
        <w:t xml:space="preserve">VRD, construction, honoraires, commercialisation, contre recettes</w:t>
      </w:r>
      <w:r>
        <w:t xml:space="preserve"> </w:t>
      </w:r>
      <w:r>
        <w:t xml:space="preserve">attendues), puis la vie du chantier et de la commercialisation fait</w:t>
      </w:r>
      <w:r>
        <w:t xml:space="preserve"> </w:t>
      </w:r>
      <w:r>
        <w:t xml:space="preserve">dériver ce prévisionnel — appels d’offres plus chers qu’anticipé,</w:t>
      </w:r>
      <w:r>
        <w:t xml:space="preserve"> </w:t>
      </w:r>
      <w:r>
        <w:t xml:space="preserve">désistements d’acquéreurs, rythme de vente ralenti par la conjoncture. La</w:t>
      </w:r>
      <w:r>
        <w:t xml:space="preserve"> </w:t>
      </w:r>
      <w:r>
        <w:t xml:space="preserve">direction financière pilote aujourd’hui ces dérives opération par</w:t>
      </w:r>
      <w:r>
        <w:t xml:space="preserve"> </w:t>
      </w:r>
      <w:r>
        <w:t xml:space="preserve">opération, sur tableurs, sans vision statistique transverse.</w:t>
      </w:r>
    </w:p>
    <w:bookmarkStart w:id="21" w:name="problème-métier"/>
    <w:p>
      <w:pPr>
        <w:pStyle w:val="Heading2"/>
      </w:pPr>
      <w:r>
        <w:t xml:space="preserve">Problème métier</w:t>
      </w:r>
    </w:p>
    <w:p>
      <w:pPr>
        <w:pStyle w:val="FirstParagraph"/>
      </w:pPr>
      <w:r>
        <w:t xml:space="preserve">Trois questions structurent les revues de gestion et ont servi de fil</w:t>
      </w:r>
      <w:r>
        <w:t xml:space="preserve"> </w:t>
      </w:r>
      <w:r>
        <w:t xml:space="preserve">conducteur au projet.</w:t>
      </w:r>
    </w:p>
    <w:p>
      <w:pPr>
        <w:pStyle w:val="BodyText"/>
      </w:pPr>
      <w:r>
        <w:t xml:space="preserve">La première concerne la</w:t>
      </w:r>
      <w:r>
        <w:t xml:space="preserve"> </w:t>
      </w:r>
      <w:r>
        <w:rPr>
          <w:bCs/>
          <w:b/>
        </w:rPr>
        <w:t xml:space="preserve">marge</w:t>
      </w:r>
      <w:r>
        <w:t xml:space="preserve"> </w:t>
      </w:r>
      <w:r>
        <w:t xml:space="preserve">: quelles opérations sont en train de</w:t>
      </w:r>
      <w:r>
        <w:t xml:space="preserve"> </w:t>
      </w:r>
      <w:r>
        <w:t xml:space="preserve">déraper financièrement, et peut-on le détecter avant que la facturation ne</w:t>
      </w:r>
      <w:r>
        <w:t xml:space="preserve"> </w:t>
      </w:r>
      <w:r>
        <w:t xml:space="preserve">rende la dérive irréversible ? La deuxième concerne l’</w:t>
      </w:r>
      <w:r>
        <w:rPr>
          <w:bCs/>
          <w:b/>
        </w:rPr>
        <w:t xml:space="preserve">écoulement</w:t>
      </w:r>
      <w:r>
        <w:t xml:space="preserve"> </w:t>
      </w:r>
      <w:r>
        <w:t xml:space="preserve">: à</w:t>
      </w:r>
      <w:r>
        <w:t xml:space="preserve"> </w:t>
      </w:r>
      <w:r>
        <w:t xml:space="preserve">quel rythme le stock de lots va-t-il se vendre, sachant que la période</w:t>
      </w:r>
      <w:r>
        <w:t xml:space="preserve"> </w:t>
      </w:r>
      <w:r>
        <w:t xml:space="preserve">2022-2024 a montré la sensibilité de la demande au coût du crédit (le taux</w:t>
      </w:r>
      <w:r>
        <w:t xml:space="preserve"> </w:t>
      </w:r>
      <w:r>
        <w:t xml:space="preserve">moyen des crédits habitat est passé d’environ 1,1 % à un pic de 3,6 % fin</w:t>
      </w:r>
      <w:r>
        <w:t xml:space="preserve"> </w:t>
      </w:r>
      <w:r>
        <w:t xml:space="preserve">2023, avant de refluer</w:t>
      </w:r>
      <w:r>
        <w:t xml:space="preserve"> </w:t>
      </w:r>
      <w:r>
        <w:t xml:space="preserve">vers 3,1 % mi-2026) ? La troisième concerne les</w:t>
      </w:r>
      <w:r>
        <w:t xml:space="preserve"> </w:t>
      </w:r>
      <w:r>
        <w:rPr>
          <w:bCs/>
          <w:b/>
        </w:rPr>
        <w:t xml:space="preserve">prix</w:t>
      </w:r>
      <w:r>
        <w:t xml:space="preserve"> </w:t>
      </w:r>
      <w:r>
        <w:t xml:space="preserve">: à quel niveau</w:t>
      </w:r>
      <w:r>
        <w:t xml:space="preserve"> </w:t>
      </w:r>
      <w:r>
        <w:t xml:space="preserve">positionner chaque lot du stock, alors que les remises commerciales sont</w:t>
      </w:r>
      <w:r>
        <w:t xml:space="preserve"> </w:t>
      </w:r>
      <w:r>
        <w:t xml:space="preserve">aujourd’hui accordées au cas par cas, sans règle explicite ?</w:t>
      </w:r>
    </w:p>
    <w:bookmarkStart w:id="20" w:name="Xcacbc28e4963aea1e7cfa59f0a47a06bee732ec"/>
    <w:p>
      <w:pPr>
        <w:pStyle w:val="Heading3"/>
      </w:pPr>
      <w:r>
        <w:t xml:space="preserve">Besoins par axe et exigences non fonctionnelles</w:t>
      </w:r>
    </w:p>
    <w:p>
      <w:pPr>
        <w:pStyle w:val="FirstParagraph"/>
      </w:pPr>
      <w:r>
        <w:t xml:space="preserve">Ces trois questions ont été reformulées en trois axes de modélisation,</w:t>
      </w:r>
      <w:r>
        <w:t xml:space="preserve"> </w:t>
      </w:r>
      <w:r>
        <w:t xml:space="preserve">complétés d’un axe transverse exploitant les données textuelles et le</w:t>
      </w:r>
      <w:r>
        <w:t xml:space="preserve"> </w:t>
      </w:r>
      <w:r>
        <w:t xml:space="preserve">réseau de commercialisation 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A — risque de marge</w:t>
      </w:r>
      <w:r>
        <w:t xml:space="preserve"> </w:t>
      </w:r>
      <w:r>
        <w:t xml:space="preserve">: produire un score de risque de dérive par</w:t>
      </w:r>
      <w:r>
        <w:t xml:space="preserve"> </w:t>
      </w:r>
      <w:r>
        <w:t xml:space="preserve">opération, expliquer les facteurs de cette dérive (les coefficients</w:t>
      </w:r>
      <w:r>
        <w:t xml:space="preserve"> </w:t>
      </w:r>
      <w:r>
        <w:t xml:space="preserve">doivent être lisibles par un contrôleur de gestion), et permettre de</w:t>
      </w:r>
      <w:r>
        <w:t xml:space="preserve"> </w:t>
      </w:r>
      <w:r>
        <w:t xml:space="preserve">comparer une opération à ses semblables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B — vitesse d’écoulement</w:t>
      </w:r>
      <w:r>
        <w:t xml:space="preserve"> </w:t>
      </w:r>
      <w:r>
        <w:t xml:space="preserve">: prévoir le nombre de réservations</w:t>
      </w:r>
      <w:r>
        <w:t xml:space="preserve"> </w:t>
      </w:r>
      <w:r>
        <w:t xml:space="preserve">mensuelles par opération, en séparant l’effet propre du programme</w:t>
      </w:r>
      <w:r>
        <w:t xml:space="preserve"> </w:t>
      </w:r>
      <w:r>
        <w:t xml:space="preserve">(localisation, produit, prix) de l’effet conjoncture (taux d’intérêt,</w:t>
      </w:r>
      <w:r>
        <w:t xml:space="preserve"> </w:t>
      </w:r>
      <w:r>
        <w:t xml:space="preserve">moral des ménages), et simuler des scénarios de taux pour 2026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C — optimisation des prix</w:t>
      </w:r>
      <w:r>
        <w:t xml:space="preserve"> </w:t>
      </w:r>
      <w:r>
        <w:t xml:space="preserve">: estimer un prix de marché par lot,</w:t>
      </w:r>
      <w:r>
        <w:t xml:space="preserve"> </w:t>
      </w:r>
      <w:r>
        <w:t xml:space="preserve">signaler les lots sur- ou sous-cotés, et recommander des ajustements de</w:t>
      </w:r>
      <w:r>
        <w:t xml:space="preserve"> </w:t>
      </w:r>
      <w:r>
        <w:t xml:space="preserve">prix sous contrainte d’écoulement et de marge 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exploiter les 9 688 commentaires libres de vente et</w:t>
      </w:r>
      <w:r>
        <w:t xml:space="preserve"> </w:t>
      </w:r>
      <w:r>
        <w:t xml:space="preserve">les motifs de désistement comme signaux précoces, et cartographier la</w:t>
      </w:r>
      <w:r>
        <w:t xml:space="preserve"> </w:t>
      </w:r>
      <w:r>
        <w:t xml:space="preserve">dépendance du groupe à ses vendeurs et prescripteurs.</w:t>
      </w:r>
    </w:p>
    <w:p>
      <w:pPr>
        <w:pStyle w:val="FirstParagraph"/>
      </w:pPr>
      <w:r>
        <w:t xml:space="preserve">Quatre exigences non fonctionnelles ont été posées dès le cadrage :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(tout se reconstruit depuis les exports bruts par</w:t>
      </w:r>
      <w:r>
        <w:t xml:space="preserve"> </w:t>
      </w:r>
      <w:r>
        <w:t xml:space="preserve">un seul script), 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(chaque score affiché est</w:t>
      </w:r>
      <w:r>
        <w:t xml:space="preserve"> </w:t>
      </w:r>
      <w:r>
        <w:t xml:space="preserve">accompagné des variables qui le déterminent),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(les</w:t>
      </w:r>
      <w:r>
        <w:t xml:space="preserve"> </w:t>
      </w:r>
      <w:r>
        <w:t xml:space="preserve">données nominatives des clients ne sont ni affichées ni utilisées comme</w:t>
      </w:r>
      <w:r>
        <w:t xml:space="preserve"> </w:t>
      </w:r>
      <w:r>
        <w:t xml:space="preserve">variables de modèle) et l’acceptation d’un</w:t>
      </w:r>
      <w:r>
        <w:t xml:space="preserve"> </w:t>
      </w:r>
      <w:r>
        <w:rPr>
          <w:bCs/>
          <w:b/>
        </w:rPr>
        <w:t xml:space="preserve">petit échantillon</w:t>
      </w:r>
      <w:r>
        <w:t xml:space="preserve"> </w:t>
      </w:r>
      <w:r>
        <w:t xml:space="preserve">: avec</w:t>
      </w:r>
      <w:r>
        <w:t xml:space="preserve"> </w:t>
      </w:r>
      <w:r>
        <w:t xml:space="preserve">267 opérations au total, la préférence va à des modèles simples,</w:t>
      </w:r>
      <w:r>
        <w:t xml:space="preserve"> </w:t>
      </w:r>
      <w:r>
        <w:t xml:space="preserve">régularisés et validés en validation croisée, plutôt qu’à des</w:t>
      </w:r>
      <w:r>
        <w:t xml:space="preserve"> </w:t>
      </w:r>
      <w:r>
        <w:t xml:space="preserve">architectures complexes invérifiables à cette échelle.</w:t>
      </w:r>
    </w:p>
    <w:bookmarkEnd w:id="20"/>
    <w:bookmarkEnd w:id="21"/>
    <w:bookmarkStart w:id="22" w:name="objectif-du-dashboard"/>
    <w:p>
      <w:pPr>
        <w:pStyle w:val="Heading2"/>
      </w:pPr>
      <w:r>
        <w:t xml:space="preserve">Objectif du dashboard</w:t>
      </w:r>
    </w:p>
    <w:p>
      <w:pPr>
        <w:pStyle w:val="FirstParagraph"/>
      </w:pPr>
      <w:r>
        <w:t xml:space="preserve">Le livrable final n’est pas un rapport d’étude mais un outil utilisable :</w:t>
      </w:r>
      <w:r>
        <w:t xml:space="preserve"> </w:t>
      </w:r>
      <w:r>
        <w:t xml:space="preserve">une application web destinée à la direction financière, qui traduit les</w:t>
      </w:r>
      <w:r>
        <w:t xml:space="preserve"> </w:t>
      </w:r>
      <w:r>
        <w:t xml:space="preserve">modèles en décisions possibles. Un retour de l’entreprise en cours de</w:t>
      </w:r>
      <w:r>
        <w:t xml:space="preserve"> </w:t>
      </w:r>
      <w:r>
        <w:t xml:space="preserve">projet a d’ailleurs imposé une refonte complète de l’interface : la</w:t>
      </w:r>
      <w:r>
        <w:t xml:space="preserve"> </w:t>
      </w:r>
      <w:r>
        <w:t xml:space="preserve">première version, trop marquée par le vocabulaire de la data science</w:t>
      </w:r>
      <w:r>
        <w:t xml:space="preserve"> </w:t>
      </w:r>
      <w:r>
        <w:t xml:space="preserve">(métriques de validation, termes de modélisation), a été réécrite en</w:t>
      </w:r>
      <w:r>
        <w:t xml:space="preserve"> </w:t>
      </w:r>
      <w:r>
        <w:t xml:space="preserve">langage de gestion — niveaux d’alerte, prix de marché estimé, sensibilité</w:t>
      </w:r>
      <w:r>
        <w:t xml:space="preserve"> </w:t>
      </w:r>
      <w:r>
        <w:t xml:space="preserve">de la demande au coût du crédit — et son périmètre a été restreint aux</w:t>
      </w:r>
      <w:r>
        <w:t xml:space="preserve"> </w:t>
      </w:r>
      <w:r>
        <w:t xml:space="preserve">seules opérations de</w:t>
      </w:r>
      <w:r>
        <w:t xml:space="preserve"> </w:t>
      </w:r>
      <w:r>
        <w:rPr>
          <w:bCs/>
          <w:b/>
        </w:rPr>
        <w:t xml:space="preserve">promotion immobilière</w:t>
      </w:r>
      <w:r>
        <w:t xml:space="preserve"> </w:t>
      </w:r>
      <w:r>
        <w:t xml:space="preserve">(147 opérations),</w:t>
      </w:r>
      <w:r>
        <w:t xml:space="preserve"> </w:t>
      </w:r>
      <w:r>
        <w:t xml:space="preserve">l’activité d’aménagement foncier relevant d’une logique économique</w:t>
      </w:r>
      <w:r>
        <w:t xml:space="preserve"> </w:t>
      </w:r>
      <w:r>
        <w:t xml:space="preserve">différente. Cette refonte est détaillée en section 5.</w:t>
      </w:r>
    </w:p>
    <w:bookmarkEnd w:id="22"/>
    <w:bookmarkEnd w:id="23"/>
    <w:bookmarkStart w:id="26" w:name="données-disponibles"/>
    <w:p>
      <w:pPr>
        <w:pStyle w:val="Heading1"/>
      </w:pPr>
      <w:r>
        <w:t xml:space="preserve">Données disponibles</w:t>
      </w:r>
    </w:p>
    <w:bookmarkStart w:id="24" w:name="données-internes"/>
    <w:p>
      <w:pPr>
        <w:pStyle w:val="Heading2"/>
      </w:pPr>
      <w:r>
        <w:t xml:space="preserve">Données internes</w:t>
      </w:r>
    </w:p>
    <w:p>
      <w:pPr>
        <w:pStyle w:val="FirstParagraph"/>
      </w:pPr>
      <w:r>
        <w:t xml:space="preserve">Le point de départ est constitué de quatre exports du système de gestion,</w:t>
      </w:r>
      <w:r>
        <w:t xml:space="preserve"> </w:t>
      </w:r>
      <w:r>
        <w:t xml:space="preserve">d’un volume total d’environ 32 Mo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16 467 lignes, 163 colonnes,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 de niveau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 (hiérarchie complète)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client et canal des désistements</w:t>
            </w:r>
          </w:p>
        </w:tc>
      </w:tr>
    </w:tbl>
    <w:p>
      <w:pPr>
        <w:pStyle w:val="BodyText"/>
      </w:pPr>
      <w:r>
        <w:t xml:space="preserve">L’exploration a révélé deux pièges qui auraient faussé toute la suite si</w:t>
      </w:r>
      <w:r>
        <w:t xml:space="preserve"> </w:t>
      </w:r>
      <w:r>
        <w:t xml:space="preserve">je les avais ignorés. D’abord, le fichier « 06_Informations Lots », malgré</w:t>
      </w:r>
      <w:r>
        <w:t xml:space="preserve"> </w:t>
      </w:r>
      <w:r>
        <w:t xml:space="preserve">son nom, ne contient pas la liste des lots : ses 2 164 lignes sont toutes</w:t>
      </w:r>
      <w:r>
        <w:t xml:space="preserve"> </w:t>
      </w:r>
      <w:r>
        <w:t xml:space="preserve">des dossiers</w:t>
      </w:r>
      <w:r>
        <w:t xml:space="preserve"> </w:t>
      </w:r>
      <w:r>
        <w:rPr>
          <w:bCs/>
          <w:b/>
        </w:rPr>
        <w:t xml:space="preserve">désistés</w:t>
      </w:r>
      <w:r>
        <w:t xml:space="preserve"> </w:t>
      </w:r>
      <w:r>
        <w:t xml:space="preserve">(2 157 « Désisté » et 7 « Résolution de</w:t>
      </w:r>
      <w:r>
        <w:t xml:space="preserve"> </w:t>
      </w:r>
      <w:r>
        <w:t xml:space="preserve">vente ») ; c’est un export de détail des désistements, et la table</w:t>
      </w:r>
      <w:r>
        <w:t xml:space="preserve"> </w:t>
      </w:r>
      <w:r>
        <w:t xml:space="preserve">maîtresse des lots est en réalité la grille de prix. Ensuite, le fichier</w:t>
      </w:r>
      <w:r>
        <w:t xml:space="preserve"> </w:t>
      </w:r>
      <w:r>
        <w:t xml:space="preserve">« Budget &amp; EFR » affiche exactement 65 000 lignes, un chiffre rond qui</w:t>
      </w:r>
      <w:r>
        <w:t xml:space="preserve"> </w:t>
      </w:r>
      <w:r>
        <w:t xml:space="preserve">ressemblait à une troncature d’export. La réconciliation avec le fichier</w:t>
      </w:r>
      <w:r>
        <w:t xml:space="preserve"> </w:t>
      </w:r>
      <w:r>
        <w:t xml:space="preserve">LIVE (qui porte la hiérarchie budgétaire complète) a montré qu’il n’en est</w:t>
      </w:r>
      <w:r>
        <w:t xml:space="preserve"> </w:t>
      </w:r>
      <w:r>
        <w:t xml:space="preserve">rien : les totaux de dépenses budgétées coïncident à l’euro près sur les</w:t>
      </w:r>
      <w:r>
        <w:t xml:space="preserve"> </w:t>
      </w:r>
      <w:r>
        <w:t xml:space="preserve">118 opérations jointes par leur ancien code (écart médian nul), et les</w:t>
      </w:r>
      <w:r>
        <w:t xml:space="preserve"> </w:t>
      </w:r>
      <w:r>
        <w:t xml:space="preserve">65 000 lignes se décomposent en 64 788 postes de niveau 3 plus 212 lignes</w:t>
      </w:r>
      <w:r>
        <w:t xml:space="preserve"> </w:t>
      </w:r>
      <w:r>
        <w:t xml:space="preserve">de synthèse. J’en ai tiré une règle de travail : quand deux sources</w:t>
      </w:r>
      <w:r>
        <w:t xml:space="preserve"> </w:t>
      </w:r>
      <w:r>
        <w:t xml:space="preserve">décrivent le même objet, les réconcilier avant d’en écarter une.</w:t>
      </w:r>
    </w:p>
    <w:p>
      <w:pPr>
        <w:pStyle w:val="BodyText"/>
      </w:pPr>
      <w:r>
        <w:t xml:space="preserve">Le nettoyage a ensuite traité les problèmes classiques de ces exports :</w:t>
      </w:r>
      <w:r>
        <w:t xml:space="preserve"> </w:t>
      </w:r>
      <w:r>
        <w:t xml:space="preserve">harmonisation des natures de lot (« appt » et « Appartement », « stat » et</w:t>
      </w:r>
      <w:r>
        <w:t xml:space="preserve"> </w:t>
      </w:r>
      <w:r>
        <w:t xml:space="preserve">« Parking extérieur » ont été regroupés en huit familles), fusion des</w:t>
      </w:r>
      <w:r>
        <w:t xml:space="preserve"> </w:t>
      </w:r>
      <w:r>
        <w:t xml:space="preserve">doublons orthographiques de communes (91 orthographes pour 90 communes),</w:t>
      </w:r>
      <w:r>
        <w:t xml:space="preserve"> </w:t>
      </w:r>
      <w:r>
        <w:t xml:space="preserve">conversion en valeurs manquantes des surfaces et prix à zéro (valeurs</w:t>
      </w:r>
      <w:r>
        <w:t xml:space="preserve"> </w:t>
      </w:r>
      <w:r>
        <w:t xml:space="preserve">sentinelles des stationnements et lots non déployés) et suppression des</w:t>
      </w:r>
      <w:r>
        <w:t xml:space="preserve"> </w:t>
      </w:r>
      <w:r>
        <w:t xml:space="preserve">artefacts d’export Excel dans les textes libres.</w:t>
      </w:r>
    </w:p>
    <w:bookmarkEnd w:id="24"/>
    <w:bookmarkStart w:id="25" w:name="données-externes"/>
    <w:p>
      <w:pPr>
        <w:pStyle w:val="Heading2"/>
      </w:pPr>
      <w:r>
        <w:t xml:space="preserve">Données externes</w:t>
      </w:r>
    </w:p>
    <w:p>
      <w:pPr>
        <w:pStyle w:val="FirstParagraph"/>
      </w:pPr>
      <w:r>
        <w:t xml:space="preserve">Trois sources publiques complètent les données internes, toutes</w:t>
      </w:r>
      <w:r>
        <w:t xml:space="preserve"> </w:t>
      </w:r>
      <w:r>
        <w:t xml:space="preserve">récupérées par script pour rester re-téléchargeables :</w:t>
      </w:r>
    </w:p>
    <w:p>
      <w:pPr>
        <w:numPr>
          <w:ilvl w:val="0"/>
          <w:numId w:val="1002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taux moyen des crédits habitat en France</w:t>
      </w:r>
      <w:r>
        <w:t xml:space="preserve">, série mensuelle de la</w:t>
      </w:r>
      <w:r>
        <w:t xml:space="preserve"> </w:t>
      </w:r>
      <w:r>
        <w:t xml:space="preserve">Banque centrale européenne (série MIR, janvier 2015 à avril 2026,</w:t>
      </w:r>
      <w:r>
        <w:t xml:space="preserve"> </w:t>
      </w:r>
      <w:r>
        <w:t xml:space="preserve">prolongée par la dernière valeur connue pour compenser le délai de</w:t>
      </w:r>
      <w:r>
        <w:t xml:space="preserve"> </w:t>
      </w:r>
      <w:r>
        <w:t xml:space="preserve">publication) ;</w:t>
      </w:r>
    </w:p>
    <w:p>
      <w:pPr>
        <w:numPr>
          <w:ilvl w:val="0"/>
          <w:numId w:val="1002"/>
        </w:numPr>
        <w:pStyle w:val="Compact"/>
      </w:pPr>
      <w:r>
        <w:t xml:space="preserve">l’</w:t>
      </w:r>
      <w:r>
        <w:rPr>
          <w:bCs/>
          <w:b/>
        </w:rPr>
        <w:t xml:space="preserve">indicateur de confiance des ménages</w:t>
      </w:r>
      <w:r>
        <w:t xml:space="preserve">, série mensuelle Eurostat</w:t>
      </w:r>
      <w:r>
        <w:t xml:space="preserve"> </w:t>
      </w:r>
      <w:r>
        <w:t xml:space="preserve">(janvier 2015 à juin 2026) ;</w:t>
      </w:r>
    </w:p>
    <w:p>
      <w:pPr>
        <w:numPr>
          <w:ilvl w:val="0"/>
          <w:numId w:val="1002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référentiel des 90 communes</w:t>
      </w:r>
      <w:r>
        <w:t xml:space="preserve"> </w:t>
      </w:r>
      <w:r>
        <w:t xml:space="preserve">d’implantation (population,</w:t>
      </w:r>
      <w:r>
        <w:t xml:space="preserve"> </w:t>
      </w:r>
      <w:r>
        <w:t xml:space="preserve">département, coordonnées géographiques) construit via l’API publique</w:t>
      </w:r>
      <w:r>
        <w:t xml:space="preserve"> </w:t>
      </w:r>
      <w:r>
        <w:t xml:space="preserve">geo.api.gouv.fr, enrichi d’une distance au littoral calculée depuis les</w:t>
      </w:r>
      <w:r>
        <w:t xml:space="preserve"> </w:t>
      </w:r>
      <w:r>
        <w:t xml:space="preserve">coordonnées — un indicateur simple de l’attractivité « bord de mer »</w:t>
      </w:r>
      <w:r>
        <w:t xml:space="preserve"> </w:t>
      </w:r>
      <w:r>
        <w:t xml:space="preserve">d’une partie du portefeuille.</w:t>
      </w:r>
    </w:p>
    <w:bookmarkEnd w:id="25"/>
    <w:bookmarkEnd w:id="26"/>
    <w:bookmarkStart w:id="27" w:name="architecture-technique"/>
    <w:p>
      <w:pPr>
        <w:pStyle w:val="Heading1"/>
      </w:pPr>
      <w:r>
        <w:t xml:space="preserve">Architecture technique</w:t>
      </w:r>
    </w:p>
    <w:p>
      <w:pPr>
        <w:pStyle w:val="FirstParagraph"/>
      </w:pPr>
      <w:r>
        <w:t xml:space="preserve">L’architecture suit une chaîne simple et entièrement rejouable :</w:t>
      </w:r>
    </w:p>
    <w:p>
      <w:pPr>
        <w:pStyle w:val="SourceCode"/>
      </w:pPr>
      <w:r>
        <w:rPr>
          <w:rStyle w:val="VerbatimChar"/>
        </w:rPr>
        <w:t xml:space="preserve">donnéebrut/ (4 exports Excel)          data/externe/ (BCE, Eurostat, geo.api)</w:t>
      </w:r>
      <w:r>
        <w:br/>
      </w:r>
      <w:r>
        <w:rPr>
          <w:rStyle w:val="VerbatimChar"/>
        </w:rPr>
        <w:t xml:space="preserve">        |                                       |</w:t>
      </w:r>
      <w:r>
        <w:br/>
      </w:r>
      <w:r>
        <w:rPr>
          <w:rStyle w:val="VerbatimChar"/>
        </w:rPr>
        <w:t xml:space="preserve">        +---------&gt; src/nettoyage.py &lt;----------+</w:t>
      </w:r>
      <w:r>
        <w:br/>
      </w:r>
      <w:r>
        <w:rPr>
          <w:rStyle w:val="VerbatimChar"/>
        </w:rPr>
        <w:t xml:space="preserve">                         |      harmonisation, typage, dédoublonnage</w:t>
      </w:r>
      <w:r>
        <w:br/>
      </w:r>
      <w:r>
        <w:rPr>
          <w:rStyle w:val="VerbatimChar"/>
        </w:rPr>
        <w:t xml:space="preserve">                         v</w:t>
      </w:r>
      <w:r>
        <w:br/>
      </w:r>
      <w:r>
        <w:rPr>
          <w:rStyle w:val="VerbatimChar"/>
        </w:rPr>
        <w:t xml:space="preserve">                src/base_sql.py ---&gt; data/copilote.db (SQLite)</w:t>
      </w:r>
      <w:r>
        <w:br/>
      </w:r>
      <w:r>
        <w:rPr>
          <w:rStyle w:val="VerbatimChar"/>
        </w:rPr>
        <w:t xml:space="preserve">                                     7 tables + 3 vues SQL métier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+---------------+---------------------------+</w:t>
      </w:r>
      <w:r>
        <w:br/>
      </w:r>
      <w:r>
        <w:rPr>
          <w:rStyle w:val="VerbatimChar"/>
        </w:rPr>
        <w:t xml:space="preserve">         v               v                           v</w:t>
      </w:r>
      <w:r>
        <w:br/>
      </w:r>
      <w:r>
        <w:rPr>
          <w:rStyle w:val="VerbatimChar"/>
        </w:rPr>
        <w:t xml:space="preserve">   notebooks/       modèles entraînés          plateforme/ (Streamlit)</w:t>
      </w:r>
      <w:r>
        <w:br/>
      </w:r>
      <w:r>
        <w:rPr>
          <w:rStyle w:val="VerbatimChar"/>
        </w:rPr>
        <w:t xml:space="preserve">   00 à 06          (sérialisés)               5 pages pour la direction</w:t>
      </w:r>
    </w:p>
    <w:p>
      <w:pPr>
        <w:pStyle w:val="FirstParagraph"/>
      </w:pPr>
      <w:r>
        <w:t xml:space="preserve">Le cœur est une base</w:t>
      </w:r>
      <w:r>
        <w:t xml:space="preserve"> </w:t>
      </w:r>
      <w:r>
        <w:rPr>
          <w:bCs/>
          <w:b/>
        </w:rPr>
        <w:t xml:space="preserve">SQLite</w:t>
      </w:r>
      <w:r>
        <w:t xml:space="preserve"> </w:t>
      </w:r>
      <w:r>
        <w:t xml:space="preserve">en schéma en étoile : trois dimensions</w:t>
      </w:r>
      <w:r>
        <w:t xml:space="preserve"> </w:t>
      </w:r>
      <w:r>
        <w:t xml:space="preserve">(opérations, communes, conjoncture mensuelle) et quatre tables de faits</w:t>
      </w:r>
      <w:r>
        <w:t xml:space="preserve"> </w:t>
      </w:r>
      <w:r>
        <w:t xml:space="preserve">(64 788 lignes budgétaires, 14 123 lots, 14 428 dossiers de vente, 2 164</w:t>
      </w:r>
      <w:r>
        <w:t xml:space="preserve"> </w:t>
      </w:r>
      <w:r>
        <w:t xml:space="preserve">désistements détaillés), reliées par la clé d’opération. Trois vues SQL</w:t>
      </w:r>
      <w:r>
        <w:t xml:space="preserve"> </w:t>
      </w:r>
      <w:r>
        <w:t xml:space="preserve">encapsulent les calculs métier partagés — marge budgétée contre engagée</w:t>
      </w:r>
      <w:r>
        <w:t xml:space="preserve"> </w:t>
      </w:r>
      <w:r>
        <w:t xml:space="preserve">par opération, réservations par opération et par mois, état du stock — de</w:t>
      </w:r>
      <w:r>
        <w:t xml:space="preserve"> </w:t>
      </w:r>
      <w:r>
        <w:t xml:space="preserve">sorte que les notebooks et la plateforme utilisent exactement les mêmes</w:t>
      </w:r>
      <w:r>
        <w:t xml:space="preserve"> </w:t>
      </w:r>
      <w:r>
        <w:t xml:space="preserve">définitions. La commande</w:t>
      </w:r>
      <w:r>
        <w:t xml:space="preserve"> </w:t>
      </w:r>
      <w:r>
        <w:rPr>
          <w:rStyle w:val="VerbatimChar"/>
        </w:rPr>
        <w:t xml:space="preserve">python src/base_sql.py</w:t>
      </w:r>
      <w:r>
        <w:t xml:space="preserve"> </w:t>
      </w:r>
      <w:r>
        <w:t xml:space="preserve">reconstruit l’ensemble</w:t>
      </w:r>
      <w:r>
        <w:t xml:space="preserve"> </w:t>
      </w:r>
      <w:r>
        <w:t xml:space="preserve">depuis les exports bruts en quelques secondes.</w:t>
      </w:r>
    </w:p>
    <w:p>
      <w:pPr>
        <w:pStyle w:val="BodyText"/>
      </w:pPr>
      <w:r>
        <w:t xml:space="preserve">Les notebooks eux-mêmes sont générés et ré-exécutés de bout en bout par</w:t>
      </w:r>
      <w:r>
        <w:t xml:space="preserve"> </w:t>
      </w:r>
      <w:r>
        <w:t xml:space="preserve">des scripts versionnés : les sorties enregistrées dans le dépôt sont donc</w:t>
      </w:r>
      <w:r>
        <w:t xml:space="preserve"> </w:t>
      </w:r>
      <w:r>
        <w:t xml:space="preserve">réelles, et chaque chiffre cité dans ce chapitre correspond à une cellule</w:t>
      </w:r>
      <w:r>
        <w:t xml:space="preserve"> </w:t>
      </w:r>
      <w:r>
        <w:t xml:space="preserve">exécutée. Une cellule d’amorçage commune permet en outre de les ouvrir</w:t>
      </w:r>
      <w:r>
        <w:t xml:space="preserve"> </w:t>
      </w:r>
      <w:r>
        <w:t xml:space="preserve">dans Google Colab : elle clone le dépôt (privé, via un jeton en lecture</w:t>
      </w:r>
      <w:r>
        <w:t xml:space="preserve"> </w:t>
      </w:r>
      <w:r>
        <w:t xml:space="preserve">seule), reconstruit la base et installe les dépendances manquantes — une</w:t>
      </w:r>
      <w:r>
        <w:t xml:space="preserve"> </w:t>
      </w:r>
      <w:r>
        <w:t xml:space="preserve">nécessité pratique, les postes de l’entreprise ne permettant pas</w:t>
      </w:r>
      <w:r>
        <w:t xml:space="preserve"> </w:t>
      </w:r>
      <w:r>
        <w:t xml:space="preserve">d’installation locale.</w:t>
      </w:r>
    </w:p>
    <w:bookmarkEnd w:id="27"/>
    <w:bookmarkStart w:id="73" w:name="notebooks-et-résultats"/>
    <w:p>
      <w:pPr>
        <w:pStyle w:val="Heading1"/>
      </w:pPr>
      <w:r>
        <w:t xml:space="preserve">Notebooks et résultats</w:t>
      </w:r>
    </w:p>
    <w:p>
      <w:pPr>
        <w:pStyle w:val="FirstParagraph"/>
      </w:pPr>
      <w:r>
        <w:t xml:space="preserve">La démarche est découpée en sept notebooks, chacun couvrant une étape et</w:t>
      </w:r>
      <w:r>
        <w:t xml:space="preserve"> </w:t>
      </w:r>
      <w:r>
        <w:t xml:space="preserve">un ensemble de méthodes du Master. Je présente ici les résultats</w:t>
      </w:r>
      <w:r>
        <w:t xml:space="preserve"> </w:t>
      </w:r>
      <w:r>
        <w:t xml:space="preserve">principaux ; le détail des dérivations et des diagnostics figure dans les</w:t>
      </w:r>
      <w:r>
        <w:t xml:space="preserve"> </w:t>
      </w:r>
      <w:r>
        <w:t xml:space="preserve">notebooks.</w:t>
      </w:r>
    </w:p>
    <w:bookmarkStart w:id="40" w:name="X602394daec039ef4331b05e21f2ad099f555b11"/>
    <w:p>
      <w:pPr>
        <w:pStyle w:val="Heading2"/>
      </w:pPr>
      <w:r>
        <w:t xml:space="preserve">Exploration et nettoyage des données brutes</w:t>
      </w:r>
    </w:p>
    <w:p>
      <w:pPr>
        <w:pStyle w:val="FirstParagraph"/>
      </w:pPr>
      <w:r>
        <w:t xml:space="preserve">Le notebook d’exploration suit la démarche vue en cours d’EDA :</w:t>
      </w:r>
      <w:r>
        <w:t xml:space="preserve"> </w:t>
      </w:r>
      <w:r>
        <w:t xml:space="preserve">formalisation du problème, contrôle de qualité, analyses univariée et</w:t>
      </w:r>
      <w:r>
        <w:t xml:space="preserve"> </w:t>
      </w:r>
      <w:r>
        <w:t xml:space="preserve">bivariée, traitement des valeurs manquantes, contrôle des fuites de cible.</w:t>
      </w:r>
    </w:p>
    <w:p>
      <w:pPr>
        <w:pStyle w:val="BodyText"/>
      </w:pPr>
      <w:r>
        <w:t xml:space="preserve">Deux résultats de cette phase ont structuré toute la suite. Le premier</w:t>
      </w:r>
      <w:r>
        <w:t xml:space="preserve"> </w:t>
      </w:r>
      <w:r>
        <w:t xml:space="preserve">concerne la</w:t>
      </w:r>
      <w:r>
        <w:t xml:space="preserve"> </w:t>
      </w:r>
      <w:r>
        <w:rPr>
          <w:bCs/>
          <w:b/>
        </w:rPr>
        <w:t xml:space="preserve">distribution des prix</w:t>
      </w:r>
      <w:r>
        <w:t xml:space="preserve">. Le prix au mètre carré des</w:t>
      </w:r>
      <w:r>
        <w:t xml:space="preserve"> </w:t>
      </w:r>
      <w:r>
        <w:t xml:space="preserve">appartements est fortement asymétrique à droite ; après transformation</w:t>
      </w:r>
      <w:r>
        <w:t xml:space="preserve"> </w:t>
      </w:r>
      <w:r>
        <w:t xml:space="preserve">logarithmique, le diagramme quantile-quantile devient presque rectiligne</w:t>
      </w:r>
      <w:r>
        <w:t xml:space="preserve"> </w:t>
      </w:r>
      <w:r>
        <w:t xml:space="preserve">(Figure 1) : l’hypothèse log-normale est tenable, ce qui justifie de</w:t>
      </w:r>
      <w:r>
        <w:t xml:space="preserve"> </w:t>
      </w:r>
      <w:r>
        <w:t xml:space="preserve">modéliser le logarithme du prix dans l’axe C et rend la détection</w:t>
      </w:r>
      <w:r>
        <w:t xml:space="preserve"> </w:t>
      </w:r>
      <w:r>
        <w:t xml:space="preserve">d’observations aberrantes par z-score raisonnable sur l’échelle</w:t>
      </w:r>
      <w:r>
        <w:t xml:space="preserve"> </w:t>
      </w:r>
      <w:r>
        <w:t xml:space="preserve">transformée.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Figure 1 — Distribution du prix au m² des appartements, brute et après transformation logarithmique, avec diagrammes quantile-quantile (notebook 00)." title="" id="29" name="Picture"/>
            <a:graphic>
              <a:graphicData uri="http://schemas.openxmlformats.org/drawingml/2006/picture">
                <pic:pic>
                  <pic:nvPicPr>
                    <pic:cNvPr descr="figures/fig01_distribution_prix_m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Distribution du prix au m² des appartements, brute et après transformation logarithmique, avec diagrammes quantile-quantile (notebook 00).</w:t>
      </w:r>
    </w:p>
    <w:p>
      <w:pPr>
        <w:pStyle w:val="BodyText"/>
      </w:pPr>
      <w:r>
        <w:t xml:space="preserve">Le second est une leçon de méthode sur les</w:t>
      </w:r>
      <w:r>
        <w:t xml:space="preserve"> </w:t>
      </w:r>
      <w:r>
        <w:rPr>
          <w:bCs/>
          <w:b/>
        </w:rPr>
        <w:t xml:space="preserve">corrélations en niveaux</w:t>
      </w:r>
      <w:r>
        <w:t xml:space="preserve">.</w:t>
      </w:r>
      <w:r>
        <w:t xml:space="preserve"> </w:t>
      </w:r>
      <w:r>
        <w:t xml:space="preserve">La corrélation de Pearson entre les réservations mensuelles du groupe et</w:t>
      </w:r>
      <w:r>
        <w:t xml:space="preserve"> </w:t>
      </w:r>
      <w:r>
        <w:t xml:space="preserve">le taux des crédits habitat est quasi nulle (+0,07), alors que le lien</w:t>
      </w:r>
      <w:r>
        <w:t xml:space="preserve"> </w:t>
      </w:r>
      <w:r>
        <w:t xml:space="preserve">économique est avéré. L’explication tient à la croissance du</w:t>
      </w:r>
      <w:r>
        <w:t xml:space="preserve"> </w:t>
      </w:r>
      <w:r>
        <w:t xml:space="preserve">portefeuille : le nombre d’opérations en commercialisation a fortement</w:t>
      </w:r>
      <w:r>
        <w:t xml:space="preserve"> </w:t>
      </w:r>
      <w:r>
        <w:t xml:space="preserve">augmenté sur la période, ce qui soutient le volume total de réservations</w:t>
      </w:r>
      <w:r>
        <w:t xml:space="preserve"> </w:t>
      </w:r>
      <w:r>
        <w:t xml:space="preserve">même quand la demande par programme s’effondre. En passant à</w:t>
      </w:r>
      <w:r>
        <w:t xml:space="preserve"> </w:t>
      </w:r>
      <w:r>
        <w:t xml:space="preserve">l’</w:t>
      </w:r>
      <w:r>
        <w:rPr>
          <w:bCs/>
          <w:b/>
        </w:rPr>
        <w:t xml:space="preserve">intensité</w:t>
      </w:r>
      <w:r>
        <w:t xml:space="preserve"> </w:t>
      </w:r>
      <w:r>
        <w:t xml:space="preserve">— les réservations par opération active (Figure 2) — le</w:t>
      </w:r>
      <w:r>
        <w:t xml:space="preserve"> </w:t>
      </w:r>
      <w:r>
        <w:t xml:space="preserve">lien apparaît : la corrélation vaut −0,34 avec le taux et +0,44 avec la</w:t>
      </w:r>
      <w:r>
        <w:t xml:space="preserve"> </w:t>
      </w:r>
      <w:r>
        <w:t xml:space="preserve">confiance des ménages. J’ajoute une honnêteté de démarche : j’avais</w:t>
      </w:r>
      <w:r>
        <w:t xml:space="preserve"> </w:t>
      </w:r>
      <w:r>
        <w:t xml:space="preserve">d’abord rédigé la conclusion attendue avant de vérifier la sortie de la</w:t>
      </w:r>
      <w:r>
        <w:t xml:space="preserve"> </w:t>
      </w:r>
      <w:r>
        <w:t xml:space="preserve">cellule, et le chiffre réel m’a contredite ; l’épisode est documenté dans</w:t>
      </w:r>
      <w:r>
        <w:t xml:space="preserve"> </w:t>
      </w:r>
      <w:r>
        <w:t xml:space="preserve">le journal de bord et m’a conduite à vérifier systématiquement chaque</w:t>
      </w:r>
      <w:r>
        <w:t xml:space="preserve"> </w:t>
      </w:r>
      <w:r>
        <w:t xml:space="preserve">commentaire contre la sortie exécutée.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Figure 2 — Intensité de vente (réservations par opération active et par mois) : la chute de 2023 apparaît une fois l’effet portefeuille neutralisé (notebook 00)." title="" id="32" name="Picture"/>
            <a:graphic>
              <a:graphicData uri="http://schemas.openxmlformats.org/drawingml/2006/picture">
                <pic:pic>
                  <pic:nvPicPr>
                    <pic:cNvPr descr="figures/fig0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Intensité de vente (réservations par opération active et par mois) : la chute de 2023 apparaît une fois l’effet portefeuille neutralisé (notebook 00).</w:t>
      </w:r>
    </w:p>
    <w:p>
      <w:pPr>
        <w:pStyle w:val="BodyText"/>
      </w:pPr>
      <w:r>
        <w:t xml:space="preserve">L’exploration s’est conclue par une analyse multidimensionnelle des</w:t>
      </w:r>
      <w:r>
        <w:t xml:space="preserve"> </w:t>
      </w:r>
      <w:r>
        <w:t xml:space="preserve">profils de coûts : chaque opération est décrite par la part de chacun de</w:t>
      </w:r>
      <w:r>
        <w:t xml:space="preserve"> </w:t>
      </w:r>
      <w:r>
        <w:t xml:space="preserve">ses postes budgétaires, et une analyse en composantes principales — écrite</w:t>
      </w:r>
      <w:r>
        <w:t xml:space="preserve"> </w:t>
      </w:r>
      <w:r>
        <w:t xml:space="preserve">à la main par diagonalisation de la matrice de covariance, puis vérifiée</w:t>
      </w:r>
      <w:r>
        <w:t xml:space="preserve"> </w:t>
      </w:r>
      <w:r>
        <w:t xml:space="preserve">numériquement contre la décomposition en valeurs singulières (écart</w:t>
      </w:r>
      <w:r>
        <w:t xml:space="preserve"> </w:t>
      </w:r>
      <w:r>
        <w:t xml:space="preserve">maximal de l’ordre de 10^-15) — résume 61 % de la variance sur deux axes</w:t>
      </w:r>
      <w:r>
        <w:t xml:space="preserve"> </w:t>
      </w:r>
      <w:r>
        <w:t xml:space="preserve">(Figure 3). Le premier axe sépare nettement promotion et aménagement, ce</w:t>
      </w:r>
      <w:r>
        <w:t xml:space="preserve"> </w:t>
      </w:r>
      <w:r>
        <w:t xml:space="preserve">qui confirme par les données la pertinence du filtre métier retenu ensuite</w:t>
      </w:r>
      <w:r>
        <w:t xml:space="preserve"> </w:t>
      </w:r>
      <w:r>
        <w:t xml:space="preserve">pour la plateforme. Un partitionnement en K-moyennes (algorithme de Lloyd</w:t>
      </w:r>
      <w:r>
        <w:t xml:space="preserve"> </w:t>
      </w:r>
      <w:r>
        <w:t xml:space="preserve">réimplémenté puis confronté à scikit-learn : partitions identiques),</w:t>
      </w:r>
      <w:r>
        <w:t xml:space="preserve"> </w:t>
      </w:r>
      <w:r>
        <w:t xml:space="preserve">recoupé par une classification hiérarchique de Ward (accord mesuré par un</w:t>
      </w:r>
      <w:r>
        <w:t xml:space="preserve"> </w:t>
      </w:r>
      <w:r>
        <w:t xml:space="preserve">indice de Rand ajusté de 0,86, Figure 4), dégage quatre types</w:t>
      </w:r>
      <w:r>
        <w:t xml:space="preserve"> </w:t>
      </w:r>
      <w:r>
        <w:t xml:space="preserve">d’opérations interprétables — résidentiel classique, aménagement foncier,</w:t>
      </w:r>
      <w:r>
        <w:t xml:space="preserve"> </w:t>
      </w:r>
      <w:r>
        <w:t xml:space="preserve">promotion sur foncier allégé, aménagement lourd — et la similarité cosinus</w:t>
      </w:r>
      <w:r>
        <w:t xml:space="preserve"> </w:t>
      </w:r>
      <w:r>
        <w:t xml:space="preserve">entre profils fournit un « comparateur » : pour toute opération, ses plus</w:t>
      </w:r>
      <w:r>
        <w:t xml:space="preserve"> </w:t>
      </w:r>
      <w:r>
        <w:t xml:space="preserve">proches voisines et leurs marges.</w:t>
      </w:r>
    </w:p>
    <w:p>
      <w:pPr>
        <w:pStyle w:val="CaptionedFigure"/>
      </w:pPr>
      <w:r>
        <w:drawing>
          <wp:inline>
            <wp:extent cx="5334000" cy="2397125"/>
            <wp:effectExtent b="0" l="0" r="0" t="0"/>
            <wp:docPr descr="Figure 3 — Plan factoriel des opérations (deux premières composantes principales des profils de coûts), coloré par agence (notebook 02)." title="" id="35" name="Picture"/>
            <a:graphic>
              <a:graphicData uri="http://schemas.openxmlformats.org/drawingml/2006/picture">
                <pic:pic>
                  <pic:nvPicPr>
                    <pic:cNvPr descr="figures/fig03_plan_factoriel_acp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7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Plan factoriel des opérations (deux premières composantes principales des profils de coûts), coloré par agence (notebook 02).</w:t>
      </w:r>
    </w:p>
    <w:p>
      <w:pPr>
        <w:pStyle w:val="CaptionedFigure"/>
      </w:pPr>
      <w:r>
        <w:drawing>
          <wp:inline>
            <wp:extent cx="5334000" cy="1812135"/>
            <wp:effectExtent b="0" l="0" r="0" t="0"/>
            <wp:docPr descr="Figure 4 — Dendrogramme de la classification ascendante hiérarchique (distance de Ward) sur les profils de coûts (notebook 02)." title="" id="38" name="Picture"/>
            <a:graphic>
              <a:graphicData uri="http://schemas.openxmlformats.org/drawingml/2006/picture">
                <pic:pic>
                  <pic:nvPicPr>
                    <pic:cNvPr descr="figures/fig04_dendrogramme_w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2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Dendrogramme de la classification ascendante hiérarchique (distance de Ward) sur les profils de coûts (notebook 02).</w:t>
      </w:r>
    </w:p>
    <w:bookmarkEnd w:id="40"/>
    <w:bookmarkStart w:id="41" w:name="sql-et-spark"/>
    <w:p>
      <w:pPr>
        <w:pStyle w:val="Heading2"/>
      </w:pPr>
      <w:r>
        <w:t xml:space="preserve">SQL et Spark</w:t>
      </w:r>
    </w:p>
    <w:p>
      <w:pPr>
        <w:pStyle w:val="FirstParagraph"/>
      </w:pPr>
      <w:r>
        <w:t xml:space="preserve">Le deuxième notebook documente la couche d’ingestion. La partie SQL</w:t>
      </w:r>
      <w:r>
        <w:t xml:space="preserve"> </w:t>
      </w:r>
      <w:r>
        <w:t xml:space="preserve">déroule des requêtes de complexité croissante sur la base — projections,</w:t>
      </w:r>
      <w:r>
        <w:t xml:space="preserve"> </w:t>
      </w:r>
      <w:r>
        <w:t xml:space="preserve">jointure des opérations au référentiel des communes, agrégations avec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(le portefeuille est concentré sur le littoral :</w:t>
      </w:r>
      <w:r>
        <w:t xml:space="preserve"> </w:t>
      </w:r>
      <w:r>
        <w:t xml:space="preserve">Béziers compte 31 opérations pour 230 M€ de chiffre d’affaires budgété),</w:t>
      </w:r>
      <w:r>
        <w:t xml:space="preserve"> </w:t>
      </w:r>
      <w:r>
        <w:t xml:space="preserve">vues avec expressions conditionnelles, et une fonction fenêtre qui calcule</w:t>
      </w:r>
      <w:r>
        <w:t xml:space="preserve"> </w:t>
      </w:r>
      <w:r>
        <w:t xml:space="preserve">l’écoulement cumulé par opération.</w:t>
      </w:r>
    </w:p>
    <w:p>
      <w:pPr>
        <w:pStyle w:val="BodyText"/>
      </w:pPr>
      <w:r>
        <w:t xml:space="preserve">La partie Spark met la même préparation à l’échelle : création d’une</w:t>
      </w:r>
      <w:r>
        <w:t xml:space="preserve"> </w:t>
      </w:r>
      <w:r>
        <w:t xml:space="preserve">session locale, démonstration de l’évaluation paresseuse (le plan</w:t>
      </w:r>
      <w:r>
        <w:t xml:space="preserve"> </w:t>
      </w:r>
      <w:r>
        <w:t xml:space="preserve">d’exécution est construit en quelques centaines de millisecondes, tout le</w:t>
      </w:r>
      <w:r>
        <w:t xml:space="preserve"> </w:t>
      </w:r>
      <w:r>
        <w:t xml:space="preserve">travail se fait à l’action), agrégation distribuée dont le plan physique</w:t>
      </w:r>
      <w:r>
        <w:t xml:space="preserve"> </w:t>
      </w:r>
      <w:r>
        <w:t xml:space="preserve">rend visible le schéma MapReduce, et contrôle croisé des résultats entre</w:t>
      </w:r>
      <w:r>
        <w:t xml:space="preserve"> </w:t>
      </w:r>
      <w:r>
        <w:t xml:space="preserve">Spark et SQLite — les deux moteurs concordent à l’arrondi près (1 561,8 M€</w:t>
      </w:r>
      <w:r>
        <w:t xml:space="preserve"> </w:t>
      </w:r>
      <w:r>
        <w:t xml:space="preserve">de dépenses budgétées, 1 754,8 M€ de recettes). J’en tire une conclusion</w:t>
      </w:r>
      <w:r>
        <w:t xml:space="preserve"> </w:t>
      </w:r>
      <w:r>
        <w:t xml:space="preserve">volontairement à contre-courant : sur notre volumétrie (64 788 lignes,</w:t>
      </w:r>
      <w:r>
        <w:t xml:space="preserve"> </w:t>
      </w:r>
      <w:r>
        <w:t xml:space="preserve">soit 9 Mo une fois chargées en mémoire), Spark est cinquante-huit fois</w:t>
      </w:r>
      <w:r>
        <w:t xml:space="preserve"> </w:t>
      </w:r>
      <w:r>
        <w:rPr>
          <w:bCs/>
          <w:b/>
        </w:rPr>
        <w:t xml:space="preserve">plus lent</w:t>
      </w:r>
      <w:r>
        <w:t xml:space="preserve"> </w:t>
      </w:r>
      <w:r>
        <w:t xml:space="preserve">que pandas sur l’agrégation chronométrée, après 23,9</w:t>
      </w:r>
      <w:r>
        <w:t xml:space="preserve"> </w:t>
      </w:r>
      <w:r>
        <w:t xml:space="preserve">secondes de démarrage de session — les chronos varient d’une machine à</w:t>
      </w:r>
      <w:r>
        <w:t xml:space="preserve"> </w:t>
      </w:r>
      <w:r>
        <w:t xml:space="preserve">l’autre, l’ordre de grandeur et la conclusion non. Le passage à l’échelle</w:t>
      </w:r>
      <w:r>
        <w:t xml:space="preserve"> </w:t>
      </w:r>
      <w:r>
        <w:t xml:space="preserve">est une assurance pour des volumétries futures, pas un accélérateur ;</w:t>
      </w:r>
      <w:r>
        <w:t xml:space="preserve"> </w:t>
      </w:r>
      <w:r>
        <w:t xml:space="preserve">présenter Spark comme un gain sur moins de 10 Mo serait une erreur de diagnostic.</w:t>
      </w:r>
    </w:p>
    <w:bookmarkEnd w:id="41"/>
    <w:bookmarkStart w:id="48" w:name="axe-a"/>
    <w:p>
      <w:pPr>
        <w:pStyle w:val="Heading2"/>
      </w:pPr>
      <w:r>
        <w:t xml:space="preserve">Axe A</w:t>
      </w:r>
    </w:p>
    <w:p>
      <w:pPr>
        <w:pStyle w:val="FirstParagraph"/>
      </w:pPr>
      <w:r>
        <w:t xml:space="preserve">L’axe A prédit le</w:t>
      </w:r>
      <w:r>
        <w:t xml:space="preserve"> </w:t>
      </w:r>
      <w:r>
        <w:rPr>
          <w:bCs/>
          <w:b/>
        </w:rPr>
        <w:t xml:space="preserve">taux de variation de la marge</w:t>
      </w:r>
      <w:r>
        <w:t xml:space="preserve">. Les exports étant une</w:t>
      </w:r>
      <w:r>
        <w:t xml:space="preserve"> </w:t>
      </w:r>
      <w:r>
        <w:t xml:space="preserve">photographie à date (sans historique des révisions budgétaires), j’ai</w:t>
      </w:r>
      <w:r>
        <w:t xml:space="preserve"> </w:t>
      </w:r>
      <w:r>
        <w:t xml:space="preserve">défini une cible prudente et sans fuite : les dépenses à terminaison sont</w:t>
      </w:r>
      <w:r>
        <w:t xml:space="preserve"> </w:t>
      </w:r>
      <w:r>
        <w:t xml:space="preserve">estimées poste par poste par la règle de gestion « un dépassement engagé</w:t>
      </w:r>
      <w:r>
        <w:t xml:space="preserve"> </w:t>
      </w:r>
      <w:r>
        <w:t xml:space="preserve">est acquis, le budget restant sera dépensé » (soit le maximum de l’engagé</w:t>
      </w:r>
      <w:r>
        <w:t xml:space="preserve"> </w:t>
      </w:r>
      <w:r>
        <w:t xml:space="preserve">et du budget par poste), et la variation de marge rapporte la marge ainsi</w:t>
      </w:r>
      <w:r>
        <w:t xml:space="preserve"> </w:t>
      </w:r>
      <w:r>
        <w:t xml:space="preserve">recalculée à la marge budgétée initiale. Le périmètre d’apprentissage</w:t>
      </w:r>
      <w:r>
        <w:t xml:space="preserve"> </w:t>
      </w:r>
      <w:r>
        <w:t xml:space="preserve">retient 123 opérations suffisamment avancées (taux d’engagement d’au</w:t>
      </w:r>
      <w:r>
        <w:t xml:space="preserve"> </w:t>
      </w:r>
      <w:r>
        <w:t xml:space="preserve">moins 60 %, marge budgétée supérieure à 50 k€, recettes budgétées</w:t>
      </w:r>
      <w:r>
        <w:t xml:space="preserve"> </w:t>
      </w:r>
      <w:r>
        <w:t xml:space="preserve">positives). Sur ce périmètre, plus d’un tiers des opérations (36,6 %) n’a</w:t>
      </w:r>
      <w:r>
        <w:t xml:space="preserve"> </w:t>
      </w:r>
      <w:r>
        <w:t xml:space="preserve">aucun dépassement engagé et la médiane de variation est quasi nulle, mais</w:t>
      </w:r>
      <w:r>
        <w:t xml:space="preserve"> </w:t>
      </w:r>
      <w:r>
        <w:t xml:space="preserve">28 % franchissent le seuil de dérive matérielle fixé à 2 % de la marge,</w:t>
      </w:r>
      <w:r>
        <w:t xml:space="preserve"> </w:t>
      </w:r>
      <w:r>
        <w:t xml:space="preserve">avec deux cas extrêmes au-delà de la moitié de la marge budgétée</w:t>
      </w:r>
      <w:r>
        <w:t xml:space="preserve"> </w:t>
      </w:r>
      <w:r>
        <w:t xml:space="preserve">(Figure 5).</w:t>
      </w:r>
    </w:p>
    <w:p>
      <w:pPr>
        <w:pStyle w:val="CaptionedFigure"/>
      </w:pPr>
      <w:r>
        <w:drawing>
          <wp:inline>
            <wp:extent cx="5334000" cy="1714181"/>
            <wp:effectExtent b="0" l="0" r="0" t="0"/>
            <wp:docPr descr="Figure 5 — Distribution de la variation de marge « committée » et seuil de dérive matérielle à −2 % (notebook 03)." title="" id="43" name="Picture"/>
            <a:graphic>
              <a:graphicData uri="http://schemas.openxmlformats.org/drawingml/2006/picture">
                <pic:pic>
                  <pic:nvPicPr>
                    <pic:cNvPr descr="figures/fig05_distribution_variation_marg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Distribution de la variation de marge « committée » et seuil de dérive matérielle à −2 % (notebook 03).</w:t>
      </w:r>
    </w:p>
    <w:p>
      <w:pPr>
        <w:pStyle w:val="BodyText"/>
      </w:pPr>
      <w:r>
        <w:t xml:space="preserve">Un point de rigueur : les variables explicatives n’utilisent que la</w:t>
      </w:r>
      <w:r>
        <w:t xml:space="preserve"> </w:t>
      </w:r>
      <w:r>
        <w:t xml:space="preserve">structure du</w:t>
      </w:r>
      <w:r>
        <w:t xml:space="preserve"> </w:t>
      </w:r>
      <w:r>
        <w:rPr>
          <w:bCs/>
          <w:b/>
        </w:rPr>
        <w:t xml:space="preserve">budget initial</w:t>
      </w:r>
      <w:r>
        <w:t xml:space="preserve"> </w:t>
      </w:r>
      <w:r>
        <w:t xml:space="preserve">(parts des postes), les caractéristiques</w:t>
      </w:r>
      <w:r>
        <w:t xml:space="preserve"> </w:t>
      </w:r>
      <w:r>
        <w:t xml:space="preserve">de l’opération (taille, agence, commune) et les signaux commerciaux</w:t>
      </w:r>
      <w:r>
        <w:t xml:space="preserve"> </w:t>
      </w:r>
      <w:r>
        <w:t xml:space="preserve">(désistements, délais) — jamais l’engagé ni le facturé, qui entrent dans</w:t>
      </w:r>
      <w:r>
        <w:t xml:space="preserve"> </w:t>
      </w:r>
      <w:r>
        <w:t xml:space="preserve">la définition de la cible et créeraient une fuite mécanique.</w:t>
      </w:r>
    </w:p>
    <w:p>
      <w:pPr>
        <w:pStyle w:val="BodyText"/>
      </w:pPr>
      <w:r>
        <w:t xml:space="preserve">La régression a d’abord été menée par moindres carrés ordinaires, en</w:t>
      </w:r>
      <w:r>
        <w:t xml:space="preserve"> </w:t>
      </w:r>
      <w:r>
        <w:t xml:space="preserve">retrouvant la solution en forme close par le calcul matriciel puis en la</w:t>
      </w:r>
      <w:r>
        <w:t xml:space="preserve"> </w:t>
      </w:r>
      <w:r>
        <w:t xml:space="preserve">vérifiant contre scikit-learn (écart maximal de 2,7·10^-12), et en la</w:t>
      </w:r>
      <w:r>
        <w:t xml:space="preserve"> </w:t>
      </w:r>
      <w:r>
        <w:t xml:space="preserve">retrouvant une seconde fois par descente de gradient avec le pas théorique</w:t>
      </w:r>
      <w:r>
        <w:t xml:space="preserve"> </w:t>
      </w:r>
      <w:r>
        <w:t xml:space="preserve">égal à l’inverse de la plus grande valeur propre de la hessienne. Deux</w:t>
      </w:r>
      <w:r>
        <w:t xml:space="preserve"> </w:t>
      </w:r>
      <w:r>
        <w:t xml:space="preserve">incidents numériques instructifs ont été rencontrés et documentés : les</w:t>
      </w:r>
      <w:r>
        <w:t xml:space="preserve"> </w:t>
      </w:r>
      <w:r>
        <w:t xml:space="preserve">parts de postes sommant à un, la matrice de Gram était singulière tant</w:t>
      </w:r>
      <w:r>
        <w:t xml:space="preserve"> </w:t>
      </w:r>
      <w:r>
        <w:t xml:space="preserve">qu’un poste de référence n’était pas retiré ; et un poste quasi constant</w:t>
      </w:r>
      <w:r>
        <w:t xml:space="preserve"> </w:t>
      </w:r>
      <w:r>
        <w:t xml:space="preserve">produisait une colonne standardisée nulle. La régularisation Ridge (avec</w:t>
      </w:r>
      <w:r>
        <w:t xml:space="preserve"> </w:t>
      </w:r>
      <w:r>
        <w:t xml:space="preserve">le paramètre choisi par validation croisée) stabilise les coefficients et</w:t>
      </w:r>
      <w:r>
        <w:t xml:space="preserve"> </w:t>
      </w:r>
      <w:r>
        <w:t xml:space="preserve">en permet une lecture comparée (Figure 6), mais le pouvoir explicatif</w:t>
      </w:r>
      <w:r>
        <w:t xml:space="preserve"> </w:t>
      </w:r>
      <w:r>
        <w:t xml:space="preserve">reste modeste — un R² de 0,08 sur l’échantillon test pour les moindres</w:t>
      </w:r>
      <w:r>
        <w:t xml:space="preserve"> </w:t>
      </w:r>
      <w:r>
        <w:t xml:space="preserve">carrés ordinaires, que la régularisation n’améliore pas — et je l’assume comme un résultat honnête : la</w:t>
      </w:r>
      <w:r>
        <w:t xml:space="preserve"> </w:t>
      </w:r>
      <w:r>
        <w:t xml:space="preserve">structure budgétaire initiale prédispose à la dérive, elle ne la détermine</w:t>
      </w:r>
      <w:r>
        <w:t xml:space="preserve"> </w:t>
      </w:r>
      <w:r>
        <w:t xml:space="preserve">pas ; l’aléa de chantier fait le reste.</w:t>
      </w:r>
    </w:p>
    <w:p>
      <w:pPr>
        <w:pStyle w:val="CaptionedFigure"/>
      </w:pPr>
      <w:r>
        <w:drawing>
          <wp:inline>
            <wp:extent cx="5334000" cy="3483548"/>
            <wp:effectExtent b="0" l="0" r="0" t="0"/>
            <wp:docPr descr="Figure 6 — Coefficients standardisés de la régression Ridge : facteurs structurels de dérive de marge (notebook 03)." title="" id="46" name="Picture"/>
            <a:graphic>
              <a:graphicData uri="http://schemas.openxmlformats.org/drawingml/2006/picture">
                <pic:pic>
                  <pic:nvPicPr>
                    <pic:cNvPr descr="figures/fig06_coefficients_ridge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3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Coefficients standardisés de la régression Ridge : facteurs structurels de dérive de marge (notebook 03).</w:t>
      </w:r>
    </w:p>
    <w:p>
      <w:pPr>
        <w:pStyle w:val="BodyText"/>
      </w:pPr>
      <w:r>
        <w:t xml:space="preserve">C’est pourquoi l’axe A bascule en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: détecter les</w:t>
      </w:r>
      <w:r>
        <w:t xml:space="preserve"> </w:t>
      </w:r>
      <w:r>
        <w:t xml:space="preserve">opérations « à risque » (dérive au-delà de 2 % de la marge). Plusieurs</w:t>
      </w:r>
      <w:r>
        <w:t xml:space="preserve"> </w:t>
      </w:r>
      <w:r>
        <w:t xml:space="preserve">familles ont été comparées en validation croisée stratifiée à cinq plis,</w:t>
      </w:r>
      <w:r>
        <w:t xml:space="preserve"> </w:t>
      </w:r>
      <w:r>
        <w:t xml:space="preserve">avec le F1 comme métrique en raison du déséquilibre des classes : la</w:t>
      </w:r>
      <w:r>
        <w:t xml:space="preserve"> </w:t>
      </w:r>
      <w:r>
        <w:t xml:space="preserve">régression logistique équilibrée atteint 0,28 (plus ou moins 0,19), le SVM</w:t>
      </w:r>
      <w:r>
        <w:t xml:space="preserve"> </w:t>
      </w:r>
      <w:r>
        <w:t xml:space="preserve">linéaire 0,30, l’arbre de décision élagué par validation croisée 0,34, la</w:t>
      </w:r>
      <w:r>
        <w:t xml:space="preserve"> </w:t>
      </w:r>
      <w:r>
        <w:t xml:space="preserve">forêt aléatoire 0,31 (plus ou moins 0,07, la plus stable), contre 0 pour</w:t>
      </w:r>
      <w:r>
        <w:t xml:space="preserve"> </w:t>
      </w:r>
      <w:r>
        <w:t xml:space="preserve">la base de référence qui prédit toujours « saine ». Un perceptron</w:t>
      </w:r>
      <w:r>
        <w:t xml:space="preserve"> </w:t>
      </w:r>
      <w:r>
        <w:t xml:space="preserve">multicouche testé à titre de démonstration sur-ajuste comme attendu à</w:t>
      </w:r>
      <w:r>
        <w:t xml:space="preserve"> </w:t>
      </w:r>
      <w:r>
        <w:t xml:space="preserve">cette taille d’échantillon (F1 de 0,91 en apprentissage contre 0,26 en</w:t>
      </w:r>
      <w:r>
        <w:t xml:space="preserve"> </w:t>
      </w:r>
      <w:r>
        <w:t xml:space="preserve">validation croisée). Le modèle retenu pour la plateforme est la forêt</w:t>
      </w:r>
      <w:r>
        <w:t xml:space="preserve"> </w:t>
      </w:r>
      <w:r>
        <w:t xml:space="preserve">aléatoire, dont les probabilités alimentent les niveaux d’alerte ; une</w:t>
      </w:r>
      <w:r>
        <w:t xml:space="preserve"> </w:t>
      </w:r>
      <w:r>
        <w:t xml:space="preserve">variante à trois classes (saine, vigilance, alerte) par régression</w:t>
      </w:r>
      <w:r>
        <w:t xml:space="preserve"> </w:t>
      </w:r>
      <w:r>
        <w:t xml:space="preserve">logistique multinomiale complète le dispositif. Ces niveaux de F1,</w:t>
      </w:r>
      <w:r>
        <w:t xml:space="preserve"> </w:t>
      </w:r>
      <w:r>
        <w:t xml:space="preserve">modestes dans l’absolu, sont à lire pour ce qu’ils sont : un système</w:t>
      </w:r>
      <w:r>
        <w:t xml:space="preserve"> </w:t>
      </w:r>
      <w:r>
        <w:t xml:space="preserve">d’alerte précoce qui hiérarchise l’attention en revue de gestion, pas un</w:t>
      </w:r>
      <w:r>
        <w:t xml:space="preserve"> </w:t>
      </w:r>
      <w:r>
        <w:t xml:space="preserve">oracle.</w:t>
      </w:r>
    </w:p>
    <w:bookmarkEnd w:id="48"/>
    <w:bookmarkStart w:id="55" w:name="axe-b"/>
    <w:p>
      <w:pPr>
        <w:pStyle w:val="Heading2"/>
      </w:pPr>
      <w:r>
        <w:t xml:space="preserve">Axe B</w:t>
      </w:r>
    </w:p>
    <w:p>
      <w:pPr>
        <w:pStyle w:val="FirstParagraph"/>
      </w:pPr>
      <w:r>
        <w:t xml:space="preserve">L’axe B modélise la vitesse d’écoulement sur trois niveaux complémentaires.</w:t>
      </w:r>
    </w:p>
    <w:p>
      <w:pPr>
        <w:pStyle w:val="BodyText"/>
      </w:pPr>
      <w:r>
        <w:t xml:space="preserve">Le premier est un</w:t>
      </w:r>
      <w:r>
        <w:t xml:space="preserve"> </w:t>
      </w:r>
      <w:r>
        <w:rPr>
          <w:bCs/>
          <w:b/>
        </w:rPr>
        <w:t xml:space="preserve">modèle à effets aléatoires</w:t>
      </w:r>
      <w:r>
        <w:t xml:space="preserve"> </w:t>
      </w:r>
      <w:r>
        <w:t xml:space="preserve">sur le panel opération ×</w:t>
      </w:r>
      <w:r>
        <w:t xml:space="preserve"> </w:t>
      </w:r>
      <w:r>
        <w:t xml:space="preserve">mois (3 230 observations, 160 opérations, en réintroduisant les mois à</w:t>
      </w:r>
      <w:r>
        <w:t xml:space="preserve"> </w:t>
      </w:r>
      <w:r>
        <w:t xml:space="preserve">zéro réservation entre la première et la dernière vente de chaque</w:t>
      </w:r>
      <w:r>
        <w:t xml:space="preserve"> </w:t>
      </w:r>
      <w:r>
        <w:t xml:space="preserve">programme, sans quoi le rythme serait surestimé). La décomposition de la</w:t>
      </w:r>
      <w:r>
        <w:t xml:space="preserve"> </w:t>
      </w:r>
      <w:r>
        <w:t xml:space="preserve">variance donne un coefficient de corrélation intraclasse de 0,66 : les</w:t>
      </w:r>
      <w:r>
        <w:t xml:space="preserve"> </w:t>
      </w:r>
      <w:r>
        <w:t xml:space="preserve">deux tiers de la variance du rythme tiennent à l’opération elle-même,</w:t>
      </w:r>
      <w:r>
        <w:t xml:space="preserve"> </w:t>
      </w:r>
      <w:r>
        <w:t xml:space="preserve">un tiers aux fluctuations temporelles. Surtout, l’effet du taux d’intérêt</w:t>
      </w:r>
      <w:r>
        <w:t xml:space="preserve"> </w:t>
      </w:r>
      <w:r>
        <w:t xml:space="preserve">y est fortement significatif :</w:t>
      </w:r>
      <w:r>
        <w:t xml:space="preserve"> </w:t>
      </w:r>
      <w:r>
        <w:rPr>
          <w:bCs/>
          <w:b/>
        </w:rPr>
        <w:t xml:space="preserve">une hausse d’un point de taux réduit les</w:t>
      </w:r>
      <w:r>
        <w:rPr>
          <w:bCs/>
          <w:b/>
        </w:rPr>
        <w:t xml:space="preserve"> </w:t>
      </w:r>
      <w:r>
        <w:rPr>
          <w:bCs/>
          <w:b/>
        </w:rPr>
        <w:t xml:space="preserve">réservations mensuelles d’environ 19 %</w:t>
      </w:r>
      <w:r>
        <w:t xml:space="preserve">, toutes choses égales par</w:t>
      </w:r>
      <w:r>
        <w:t xml:space="preserve"> </w:t>
      </w:r>
      <w:r>
        <w:t xml:space="preserve">ailleurs — c’est le résultat central du projet, et la régression naïve qui</w:t>
      </w:r>
      <w:r>
        <w:t xml:space="preserve"> </w:t>
      </w:r>
      <w:r>
        <w:t xml:space="preserve">ignore la structure en panel le surestime.</w:t>
      </w:r>
    </w:p>
    <w:p>
      <w:pPr>
        <w:pStyle w:val="BodyText"/>
      </w:pPr>
      <w:r>
        <w:t xml:space="preserve">Le deuxième niveau est une</w:t>
      </w:r>
      <w:r>
        <w:t xml:space="preserve"> </w:t>
      </w:r>
      <w:r>
        <w:rPr>
          <w:bCs/>
          <w:b/>
        </w:rPr>
        <w:t xml:space="preserve">régression dynamique à erreurs ARIMA</w:t>
      </w:r>
      <w:r>
        <w:t xml:space="preserve"> </w:t>
      </w:r>
      <w:r>
        <w:t xml:space="preserve">sur la</w:t>
      </w:r>
      <w:r>
        <w:t xml:space="preserve"> </w:t>
      </w:r>
      <w:r>
        <w:t xml:space="preserve">série agrégée d’intensité (114 mois), menée selon la procédure du cours de</w:t>
      </w:r>
      <w:r>
        <w:t xml:space="preserve"> </w:t>
      </w:r>
      <w:r>
        <w:t xml:space="preserve">séries temporelles : différenciation, diagnostic des résidus par</w:t>
      </w:r>
      <w:r>
        <w:t xml:space="preserve"> </w:t>
      </w:r>
      <w:r>
        <w:t xml:space="preserve">autocorrélogramme et test de Ljung-Box, puis sélection par AICc</w:t>
      </w:r>
      <w:r>
        <w:t xml:space="preserve"> </w:t>
      </w:r>
      <w:r>
        <w:rPr>
          <w:bCs/>
          <w:b/>
        </w:rPr>
        <w:t xml:space="preserve">parmi</w:t>
      </w:r>
      <w:r>
        <w:rPr>
          <w:bCs/>
          <w:b/>
        </w:rPr>
        <w:t xml:space="preserve"> </w:t>
      </w:r>
      <w:r>
        <w:rPr>
          <w:bCs/>
          <w:b/>
        </w:rPr>
        <w:t xml:space="preserve">les seuls modèles à résidus assimilables à un bruit blanc</w:t>
      </w:r>
      <w:r>
        <w:t xml:space="preserve">. Le modèle</w:t>
      </w:r>
      <w:r>
        <w:t xml:space="preserve"> </w:t>
      </w:r>
      <w:r>
        <w:t xml:space="preserve">retenu est un ARIMA(1,1,1) avec composante saisonnière, et il livre un</w:t>
      </w:r>
      <w:r>
        <w:t xml:space="preserve"> </w:t>
      </w:r>
      <w:r>
        <w:t xml:space="preserve">enseignement honnête : une fois la dynamique propre de la série modélisée,</w:t>
      </w:r>
      <w:r>
        <w:t xml:space="preserve"> </w:t>
      </w:r>
      <w:r>
        <w:t xml:space="preserve">le coefficient du taux d’intérêt n’y est plus statistiquement</w:t>
      </w:r>
      <w:r>
        <w:t xml:space="preserve"> </w:t>
      </w:r>
      <w:r>
        <w:t xml:space="preserve">identifiable — ses variations sont trop lentes pour 114 points mensuels,</w:t>
      </w:r>
      <w:r>
        <w:t xml:space="preserve"> </w:t>
      </w:r>
      <w:r>
        <w:t xml:space="preserve">et la régression en niveaux qui le donnait « très significatif » relevait</w:t>
      </w:r>
      <w:r>
        <w:t xml:space="preserve"> </w:t>
      </w:r>
      <w:r>
        <w:t xml:space="preserve">de la régression fallacieuse. Les deux modèles sont donc utilisés pour ce</w:t>
      </w:r>
      <w:r>
        <w:t xml:space="preserve"> </w:t>
      </w:r>
      <w:r>
        <w:t xml:space="preserve">que chacun sait faire : le panel identifie l’effet causal, la série</w:t>
      </w:r>
      <w:r>
        <w:t xml:space="preserve"> </w:t>
      </w:r>
      <w:r>
        <w:t xml:space="preserve">temporelle fournit la trajectoire de référence, et les</w:t>
      </w:r>
      <w:r>
        <w:t xml:space="preserve"> </w:t>
      </w:r>
      <w:r>
        <w:rPr>
          <w:bCs/>
          <w:b/>
        </w:rPr>
        <w:t xml:space="preserve">scénarios de taux</w:t>
      </w:r>
      <w:r>
        <w:rPr>
          <w:bCs/>
          <w:b/>
        </w:rPr>
        <w:t xml:space="preserve"> </w:t>
      </w:r>
      <w:r>
        <w:rPr>
          <w:bCs/>
          <w:b/>
        </w:rPr>
        <w:t xml:space="preserve">2026</w:t>
      </w:r>
      <w:r>
        <w:t xml:space="preserve"> </w:t>
      </w:r>
      <w:r>
        <w:t xml:space="preserve">combinent les deux (Figure 7) — une détente à 2,5 % redonnerait</w:t>
      </w:r>
      <w:r>
        <w:t xml:space="preserve"> </w:t>
      </w:r>
      <w:r>
        <w:t xml:space="preserve">environ +6 % de rythme en moyenne sur douze mois, une remontée à 3,5 % en</w:t>
      </w:r>
      <w:r>
        <w:t xml:space="preserve"> </w:t>
      </w:r>
      <w:r>
        <w:t xml:space="preserve">retirerait 3 %.</w:t>
      </w:r>
    </w:p>
    <w:p>
      <w:pPr>
        <w:pStyle w:val="CaptionedFigure"/>
      </w:pPr>
      <w:r>
        <w:drawing>
          <wp:inline>
            <wp:extent cx="5334000" cy="2003589"/>
            <wp:effectExtent b="0" l="0" r="0" t="0"/>
            <wp:docPr descr="Figure 7 — Prévision d’intensité de vente à douze mois : trajectoire de référence et scénarios de taux 2026, avec intervalle à 80 % (notebook 04)." title="" id="50" name="Picture"/>
            <a:graphic>
              <a:graphicData uri="http://schemas.openxmlformats.org/drawingml/2006/picture">
                <pic:pic>
                  <pic:nvPicPr>
                    <pic:cNvPr descr="figures/fig07_scenarios_taux_202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3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Prévision d’intensité de vente à douze mois : trajectoire de référence et scénarios de taux 2026, avec intervalle à 80 % (notebook 04).</w:t>
      </w:r>
    </w:p>
    <w:p>
      <w:pPr>
        <w:pStyle w:val="BodyText"/>
      </w:pPr>
      <w:r>
        <w:t xml:space="preserve">Le troisième niveau est une</w:t>
      </w:r>
      <w:r>
        <w:t xml:space="preserve"> </w:t>
      </w:r>
      <w:r>
        <w:rPr>
          <w:bCs/>
          <w:b/>
        </w:rPr>
        <w:t xml:space="preserve">régression non linéaire</w:t>
      </w:r>
      <w:r>
        <w:t xml:space="preserve"> </w:t>
      </w:r>
      <w:r>
        <w:t xml:space="preserve">au niveau de</w:t>
      </w:r>
      <w:r>
        <w:t xml:space="preserve"> </w:t>
      </w:r>
      <w:r>
        <w:t xml:space="preserve">l’opération : la courbe des réservations cumulées suit une forme en S,</w:t>
      </w:r>
      <w:r>
        <w:t xml:space="preserve"> </w:t>
      </w:r>
      <w:r>
        <w:t xml:space="preserve">ajustée par une fonction logistique à trois paramètres (potentiel, vitesse,</w:t>
      </w:r>
      <w:r>
        <w:t xml:space="preserve"> </w:t>
      </w:r>
      <w:r>
        <w:t xml:space="preserve">mi-parcours) par moindres carrés non linéaires. Sur les 28 opérations</w:t>
      </w:r>
      <w:r>
        <w:t xml:space="preserve"> </w:t>
      </w:r>
      <w:r>
        <w:t xml:space="preserve">terminées du périmètre, la sigmoïde bat l’ajustement linéaire dans 25 cas</w:t>
      </w:r>
      <w:r>
        <w:t xml:space="preserve"> </w:t>
      </w:r>
      <w:r>
        <w:t xml:space="preserve">(Figure 8), et elle fournit un indicateur directement utile à la</w:t>
      </w:r>
      <w:r>
        <w:t xml:space="preserve"> </w:t>
      </w:r>
      <w:r>
        <w:t xml:space="preserve">trésorerie : le délai d’atteinte de 90 % du potentiel, de médiane proche</w:t>
      </w:r>
      <w:r>
        <w:t xml:space="preserve"> </w:t>
      </w:r>
      <w:r>
        <w:t xml:space="preserve">de vingt mois. J’ai aussi vérifié sa limite : sur une opération en début</w:t>
      </w:r>
      <w:r>
        <w:t xml:space="preserve"> </w:t>
      </w:r>
      <w:r>
        <w:t xml:space="preserve">de commercialisation, le potentiel n’est pas identifiable et l’ajustement</w:t>
      </w:r>
      <w:r>
        <w:t xml:space="preserve"> </w:t>
      </w:r>
      <w:r>
        <w:t xml:space="preserve">diverge — l’outil n’est donc proposé que sur les programmes suffisamment</w:t>
      </w:r>
      <w:r>
        <w:t xml:space="preserve"> </w:t>
      </w:r>
      <w:r>
        <w:t xml:space="preserve">avancés.</w:t>
      </w:r>
    </w:p>
    <w:p>
      <w:pPr>
        <w:pStyle w:val="CaptionedFigure"/>
      </w:pPr>
      <w:r>
        <w:drawing>
          <wp:inline>
            <wp:extent cx="5334000" cy="3130051"/>
            <wp:effectExtent b="0" l="0" r="0" t="0"/>
            <wp:docPr descr="Figure 8 — Courbes d’écoulement cumulé et sigmoïdes ajustées sur quatre opérations terminées, avec le repère des 90 % du potentiel (notebook 04)." title="" id="53" name="Picture"/>
            <a:graphic>
              <a:graphicData uri="http://schemas.openxmlformats.org/drawingml/2006/picture">
                <pic:pic>
                  <pic:nvPicPr>
                    <pic:cNvPr descr="figures/fig08_courbes_ecoulement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0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 — Courbes d’écoulement cumulé et sigmoïdes ajustées sur quatre opérations terminées, avec le repère des 90 % du potentiel (notebook 04).</w:t>
      </w:r>
    </w:p>
    <w:bookmarkEnd w:id="55"/>
    <w:bookmarkStart w:id="65" w:name="axe-c"/>
    <w:p>
      <w:pPr>
        <w:pStyle w:val="Heading2"/>
      </w:pPr>
      <w:r>
        <w:t xml:space="preserve">Axe C</w:t>
      </w:r>
    </w:p>
    <w:p>
      <w:pPr>
        <w:pStyle w:val="FirstParagraph"/>
      </w:pPr>
      <w:r>
        <w:t xml:space="preserve">L’axe C commence par un</w:t>
      </w:r>
      <w:r>
        <w:t xml:space="preserve"> </w:t>
      </w:r>
      <w:r>
        <w:rPr>
          <w:bCs/>
          <w:b/>
        </w:rPr>
        <w:t xml:space="preserve">modèle de prix hédonique</w:t>
      </w:r>
      <w:r>
        <w:t xml:space="preserve"> </w:t>
      </w:r>
      <w:r>
        <w:t xml:space="preserve">: le logarithme du</w:t>
      </w:r>
      <w:r>
        <w:t xml:space="preserve"> </w:t>
      </w:r>
      <w:r>
        <w:t xml:space="preserve">prix au mètre carré des 5 064 appartements transigés depuis 2016 est</w:t>
      </w:r>
      <w:r>
        <w:t xml:space="preserve"> </w:t>
      </w:r>
      <w:r>
        <w:t xml:space="preserve">régressé sur leurs caractéristiques (surface, étage, exposition, type de</w:t>
      </w:r>
      <w:r>
        <w:t xml:space="preserve"> </w:t>
      </w:r>
      <w:r>
        <w:t xml:space="preserve">produit, agence, commune, littoral) et sur l’année de réservation. Le</w:t>
      </w:r>
      <w:r>
        <w:t xml:space="preserve"> </w:t>
      </w:r>
      <w:r>
        <w:t xml:space="preserve">modèle explique 88,6 % de la variance sur l’échantillon test, avec une</w:t>
      </w:r>
      <w:r>
        <w:t xml:space="preserve"> </w:t>
      </w:r>
      <w:r>
        <w:t xml:space="preserve">erreur type d’environ 11 % sur le prix. Les prix implicites sont</w:t>
      </w:r>
      <w:r>
        <w:t xml:space="preserve"> </w:t>
      </w:r>
      <w:r>
        <w:t xml:space="preserve">économiquement cohérents : prime d’étage, prime d’exposition sud, décote</w:t>
      </w:r>
      <w:r>
        <w:t xml:space="preserve"> </w:t>
      </w:r>
      <w:r>
        <w:t xml:space="preserve">de 63 % du logement social (prix réglementés), et un effet millésime qui</w:t>
      </w:r>
      <w:r>
        <w:t xml:space="preserve"> </w:t>
      </w:r>
      <w:r>
        <w:t xml:space="preserve">raconte la décennie (Figure 9) — environ +19 points entre 2016 et 2023,</w:t>
      </w:r>
      <w:r>
        <w:t xml:space="preserve"> </w:t>
      </w:r>
      <w:r>
        <w:t xml:space="preserve">puis un plateau : les prix du neuf n’ont pas baissé avec la remontée des</w:t>
      </w:r>
      <w:r>
        <w:t xml:space="preserve"> </w:t>
      </w:r>
      <w:r>
        <w:t xml:space="preserve">taux, c’est le volume qui s’est ajusté, en cohérence avec l’axe B.</w:t>
      </w:r>
    </w:p>
    <w:p>
      <w:pPr>
        <w:pStyle w:val="CaptionedFigure"/>
      </w:pPr>
      <w:r>
        <w:drawing>
          <wp:inline>
            <wp:extent cx="5334000" cy="1970632"/>
            <wp:effectExtent b="0" l="0" r="0" t="0"/>
            <wp:docPr descr="Figure 9 — Effet millésime du modèle hédonique (prime de prix par année de réservation, référence 2016) (notebook 05)." title="" id="57" name="Picture"/>
            <a:graphic>
              <a:graphicData uri="http://schemas.openxmlformats.org/drawingml/2006/picture">
                <pic:pic>
                  <pic:nvPicPr>
                    <pic:cNvPr descr="figures/fig09_effet_millesim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06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 — Effet millésime du modèle hédonique (prime de prix par année de réservation, référence 2016) (notebook 05).</w:t>
      </w:r>
    </w:p>
    <w:p>
      <w:pPr>
        <w:pStyle w:val="BodyText"/>
      </w:pPr>
      <w:r>
        <w:t xml:space="preserve">Appliqué aux 127 appartements en stock, le modèle sert de détecteur : les</w:t>
      </w:r>
      <w:r>
        <w:t xml:space="preserve"> </w:t>
      </w:r>
      <w:r>
        <w:t xml:space="preserve">lots dont le prix grille s’écarte du prix de marché estimé de plus d’une</w:t>
      </w:r>
      <w:r>
        <w:t xml:space="preserve"> </w:t>
      </w:r>
      <w:r>
        <w:t xml:space="preserve">erreur type sont signalés (Figure 10) — 103 sont dans le marché, 8</w:t>
      </w:r>
      <w:r>
        <w:t xml:space="preserve"> </w:t>
      </w:r>
      <w:r>
        <w:t xml:space="preserve">au-dessus, 16 en dessous à la date de l’export. (La plateforme, qui</w:t>
      </w:r>
      <w:r>
        <w:t xml:space="preserve"> </w:t>
      </w:r>
      <w:r>
        <w:t xml:space="preserve">ré-estime le modèle sur l’ensemble des transactions, aboutit à un</w:t>
      </w:r>
      <w:r>
        <w:t xml:space="preserve"> </w:t>
      </w:r>
      <w:r>
        <w:t xml:space="preserve">classement légèrement plus clément : 111/4/12.)</w:t>
      </w:r>
    </w:p>
    <w:p>
      <w:pPr>
        <w:pStyle w:val="CaptionedFigure"/>
      </w:pPr>
      <w:r>
        <w:drawing>
          <wp:inline>
            <wp:extent cx="5334000" cy="2094331"/>
            <wp:effectExtent b="0" l="0" r="0" t="0"/>
            <wp:docPr descr="Figure 10 — Stock d’appartements : prix grille contre prix de marché estimé ; la bande correspond à plus ou moins une erreur type (notebook 05)." title="" id="60" name="Picture"/>
            <a:graphic>
              <a:graphicData uri="http://schemas.openxmlformats.org/drawingml/2006/picture">
                <pic:pic>
                  <pic:nvPicPr>
                    <pic:cNvPr descr="figures/fig10_stock_grille_vs_march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4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 — Stock d’appartements : prix grille contre prix de marché estimé ; la bande correspond à plus ou moins une erreur type (notebook 05).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recommandation de prix</w:t>
      </w:r>
      <w:r>
        <w:t xml:space="preserve"> </w:t>
      </w:r>
      <w:r>
        <w:t xml:space="preserve">est ensuite posée comme un problème</w:t>
      </w:r>
      <w:r>
        <w:t xml:space="preserve"> </w:t>
      </w:r>
      <w:r>
        <w:t xml:space="preserve">d’optimisation sous contrainte : maximiser le revenu attendu à douze mois</w:t>
      </w:r>
      <w:r>
        <w:t xml:space="preserve"> </w:t>
      </w:r>
      <w:r>
        <w:t xml:space="preserve">d’une opération, en ajustant le prix de chaque lot dans des bornes</w:t>
      </w:r>
      <w:r>
        <w:t xml:space="preserve"> </w:t>
      </w:r>
      <w:r>
        <w:t xml:space="preserve">commerciales (de −10 % à +5 %), sous un objectif d’accélération de</w:t>
      </w:r>
      <w:r>
        <w:t xml:space="preserve"> </w:t>
      </w:r>
      <w:r>
        <w:t xml:space="preserve">l’écoulement. La demande est modélisée par une probabilité de vente</w:t>
      </w:r>
      <w:r>
        <w:t xml:space="preserve"> </w:t>
      </w:r>
      <w:r>
        <w:t xml:space="preserve">exponentielle en l’ajustement de prix, avec une élasticité fixée à −1 :</w:t>
      </w:r>
      <w:r>
        <w:t xml:space="preserve"> </w:t>
      </w:r>
      <w:r>
        <w:t xml:space="preserve">mon estimation interne (−0,81) a le bon signe mais n’est pas significative</w:t>
      </w:r>
      <w:r>
        <w:t xml:space="preserve"> </w:t>
      </w:r>
      <w:r>
        <w:t xml:space="preserve">(95 opérations ne suffisent pas), et la valeur retenue, compatible avec</w:t>
      </w:r>
      <w:r>
        <w:t xml:space="preserve"> </w:t>
      </w:r>
      <w:r>
        <w:t xml:space="preserve">cette estimation, correspond au bas de la fourchette de la littérature sur</w:t>
      </w:r>
      <w:r>
        <w:t xml:space="preserve"> </w:t>
      </w:r>
      <w:r>
        <w:t xml:space="preserve">la demande de logements neufs — un choix documenté plutôt que masqué.</w:t>
      </w:r>
    </w:p>
    <w:p>
      <w:pPr>
        <w:pStyle w:val="BodyText"/>
      </w:pPr>
      <w:r>
        <w:t xml:space="preserve">Le cas à une contrainte d’égalité se résout analytiquement par</w:t>
      </w:r>
      <w:r>
        <w:t xml:space="preserve"> </w:t>
      </w:r>
      <w:r>
        <w:rPr>
          <w:bCs/>
          <w:b/>
        </w:rPr>
        <w:t xml:space="preserve">multiplicateur de Lagrange</w:t>
      </w:r>
      <w:r>
        <w:t xml:space="preserve">, et la solution a une lecture économique</w:t>
      </w:r>
      <w:r>
        <w:t xml:space="preserve"> </w:t>
      </w:r>
      <w:r>
        <w:t xml:space="preserve">frappante : à élasticité −1, la condition d’optimalité impose le</w:t>
      </w:r>
      <w:r>
        <w:t xml:space="preserve"> </w:t>
      </w:r>
      <w:r>
        <w:rPr>
          <w:bCs/>
          <w:b/>
        </w:rPr>
        <w:t xml:space="preserve">même</w:t>
      </w:r>
      <w:r>
        <w:rPr>
          <w:bCs/>
          <w:b/>
        </w:rPr>
        <w:t xml:space="preserve"> </w:t>
      </w:r>
      <w:r>
        <w:rPr>
          <w:bCs/>
          <w:b/>
        </w:rPr>
        <w:t xml:space="preserve">effort en euros sur chaque lot</w:t>
      </w:r>
      <w:r>
        <w:t xml:space="preserve"> </w:t>
      </w:r>
      <w:r>
        <w:t xml:space="preserve">(le produit du prix par l’ajustement est</w:t>
      </w:r>
      <w:r>
        <w:t xml:space="preserve"> </w:t>
      </w:r>
      <w:r>
        <w:t xml:space="preserve">constant), si bien que la remise optimale est un montant uniforme — donc</w:t>
      </w:r>
      <w:r>
        <w:t xml:space="preserve"> </w:t>
      </w:r>
      <w:r>
        <w:t xml:space="preserve">un pourcentage plus fort sur les petits lots — et le multiplicateur</w:t>
      </w:r>
      <w:r>
        <w:t xml:space="preserve"> </w:t>
      </w:r>
      <w:r>
        <w:t xml:space="preserve">s’interprète comme le prix fictif de l’objectif d’écoulement. Sur</w:t>
      </w:r>
      <w:r>
        <w:t xml:space="preserve"> </w:t>
      </w:r>
      <w:r>
        <w:t xml:space="preserve">l’opération d’application (18 appartements libres en stock, probabilité de</w:t>
      </w:r>
      <w:r>
        <w:t xml:space="preserve"> </w:t>
      </w:r>
      <w:r>
        <w:t xml:space="preserve">vente à douze mois estimée à 0,38 par l’écoulement récent), viser +8 % de</w:t>
      </w:r>
      <w:r>
        <w:t xml:space="preserve"> </w:t>
      </w:r>
      <w:r>
        <w:t xml:space="preserve">rythme donne un multiplicateur d’environ −23 k€ par lot. Le problème</w:t>
      </w:r>
      <w:r>
        <w:t xml:space="preserve"> </w:t>
      </w:r>
      <w:r>
        <w:t xml:space="preserve">complet avec bornes est ensuite résolu par montée de gradient projetée</w:t>
      </w:r>
      <w:r>
        <w:t xml:space="preserve"> </w:t>
      </w:r>
      <w:r>
        <w:t xml:space="preserve">écrite à la main, dont la convergence est tracée (Figure 11) et la</w:t>
      </w:r>
      <w:r>
        <w:t xml:space="preserve"> </w:t>
      </w:r>
      <w:r>
        <w:t xml:space="preserve">solution confrontée à un solveur de référence (SLSQP) : écart maximal de</w:t>
      </w:r>
      <w:r>
        <w:t xml:space="preserve"> </w:t>
      </w:r>
      <w:r>
        <w:t xml:space="preserve">0,006 sur les ajustements, deux lots venant buter sur la borne des −10 %</w:t>
      </w:r>
      <w:r>
        <w:t xml:space="preserve"> </w:t>
      </w:r>
      <w:r>
        <w:t xml:space="preserve">— là où les conditions de Karush-Kuhn-Tucker remplacent la condition</w:t>
      </w:r>
      <w:r>
        <w:t xml:space="preserve"> </w:t>
      </w:r>
      <w:r>
        <w:t xml:space="preserve">intérieure. Au total, le volume de ventes attendu passe de 6,8 à 7,4 lots</w:t>
      </w:r>
      <w:r>
        <w:t xml:space="preserve"> </w:t>
      </w:r>
      <w:r>
        <w:t xml:space="preserve">pour un revenu quasi inchangé : l’intérêt économique est l’accélération de</w:t>
      </w:r>
      <w:r>
        <w:t xml:space="preserve"> </w:t>
      </w:r>
      <w:r>
        <w:t xml:space="preserve">l’écoulement et l’économie de frais de portage, que l’objectif ne</w:t>
      </w:r>
      <w:r>
        <w:t xml:space="preserve"> </w:t>
      </w:r>
      <w:r>
        <w:t xml:space="preserve">comptabilise pas et qui rend le gain réel supérieur au gain affiché.</w:t>
      </w:r>
    </w:p>
    <w:p>
      <w:pPr>
        <w:pStyle w:val="CaptionedFigure"/>
      </w:pPr>
      <w:r>
        <w:drawing>
          <wp:inline>
            <wp:extent cx="5334000" cy="1983153"/>
            <wp:effectExtent b="0" l="0" r="0" t="0"/>
            <wp:docPr descr="Figure 11 — Convergence de la montée de gradient projetée sur le revenu attendu (notebook 05)." title="" id="63" name="Picture"/>
            <a:graphic>
              <a:graphicData uri="http://schemas.openxmlformats.org/drawingml/2006/picture">
                <pic:pic>
                  <pic:nvPicPr>
                    <pic:cNvPr descr="figures/fig11_convergence_gradien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3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 — Convergence de la montée de gradient projetée sur le revenu attendu (notebook 05).</w:t>
      </w:r>
    </w:p>
    <w:bookmarkEnd w:id="65"/>
    <w:bookmarkStart w:id="72" w:name="signaux-faibles-texte-et-réseau"/>
    <w:p>
      <w:pPr>
        <w:pStyle w:val="Heading2"/>
      </w:pPr>
      <w:r>
        <w:t xml:space="preserve">Signaux faibles (texte et réseau)</w:t>
      </w:r>
    </w:p>
    <w:p>
      <w:pPr>
        <w:pStyle w:val="FirstParagraph"/>
      </w:pPr>
      <w:r>
        <w:t xml:space="preserve">Le dernier notebook exploite deux gisements négligés. Le premier est</w:t>
      </w:r>
      <w:r>
        <w:t xml:space="preserve"> </w:t>
      </w:r>
      <w:r>
        <w:t xml:space="preserve">textuel : les 9 688 commentaires libres de vente. Après un prétraitement</w:t>
      </w:r>
      <w:r>
        <w:t xml:space="preserve"> </w:t>
      </w:r>
      <w:r>
        <w:t xml:space="preserve">simple (minuscules, mots vides français, ponctuation), une représentation</w:t>
      </w:r>
      <w:r>
        <w:t xml:space="preserve"> </w:t>
      </w:r>
      <w:r>
        <w:t xml:space="preserve">TF-IDF — d’abord calculée à la main sur un mini-exemple pour en maîtriser</w:t>
      </w:r>
      <w:r>
        <w:t xml:space="preserve"> </w:t>
      </w:r>
      <w:r>
        <w:t xml:space="preserve">les formules, puis à l’échelle du corpus — alimente deux usages. Un moteur</w:t>
      </w:r>
      <w:r>
        <w:t xml:space="preserve"> </w:t>
      </w:r>
      <w:r>
        <w:t xml:space="preserve">de recherche par</w:t>
      </w:r>
      <w:r>
        <w:t xml:space="preserve"> </w:t>
      </w:r>
      <w:r>
        <w:rPr>
          <w:bCs/>
          <w:b/>
        </w:rPr>
        <w:t xml:space="preserve">similarité cosinus</w:t>
      </w:r>
      <w:r>
        <w:t xml:space="preserve"> </w:t>
      </w:r>
      <w:r>
        <w:t xml:space="preserve">retrouve les dossiers semblables à</w:t>
      </w:r>
      <w:r>
        <w:t xml:space="preserve"> </w:t>
      </w:r>
      <w:r>
        <w:t xml:space="preserve">une requête métier (« refus de prêt banque », « remise prix hors pack »).</w:t>
      </w:r>
      <w:r>
        <w:t xml:space="preserve"> </w:t>
      </w:r>
      <w:r>
        <w:t xml:space="preserve">Et un classifieur</w:t>
      </w:r>
      <w:r>
        <w:t xml:space="preserve"> </w:t>
      </w:r>
      <w:r>
        <w:rPr>
          <w:bCs/>
          <w:b/>
        </w:rPr>
        <w:t xml:space="preserve">Naive Bayes</w:t>
      </w:r>
      <w:r>
        <w:t xml:space="preserve"> </w:t>
      </w:r>
      <w:r>
        <w:t xml:space="preserve">prédit si un dossier réservé finira</w:t>
      </w:r>
      <w:r>
        <w:t xml:space="preserve"> </w:t>
      </w:r>
      <w:r>
        <w:t xml:space="preserve">désisté à partir de son commentaire : après élimination d’une fuite</w:t>
      </w:r>
      <w:r>
        <w:t xml:space="preserve"> </w:t>
      </w:r>
      <w:r>
        <w:t xml:space="preserve">manifeste (314 commentaires mentionnant explicitement le désistement,</w:t>
      </w:r>
      <w:r>
        <w:t xml:space="preserve"> </w:t>
      </w:r>
      <w:r>
        <w:t xml:space="preserve">désistés à 98,4 %, ont été retirés du corpus avec les mots directement</w:t>
      </w:r>
      <w:r>
        <w:t xml:space="preserve"> </w:t>
      </w:r>
      <w:r>
        <w:t xml:space="preserve">révélateurs), il atteint un F1 de 0,34 sur la classe désistée (rappel</w:t>
      </w:r>
      <w:r>
        <w:t xml:space="preserve"> </w:t>
      </w:r>
      <w:r>
        <w:t xml:space="preserve">0,50), contre 0 pour la base de référence et 0,25 pour une régression</w:t>
      </w:r>
      <w:r>
        <w:t xml:space="preserve"> </w:t>
      </w:r>
      <w:r>
        <w:t xml:space="preserve">logistique plus précise mais quasi muette. Le signal est réel mais</w:t>
      </w:r>
      <w:r>
        <w:t xml:space="preserve"> </w:t>
      </w:r>
      <w:r>
        <w:t xml:space="preserve">partiel, et les mots discriminants (refus, retirés, réserves) sont</w:t>
      </w:r>
      <w:r>
        <w:t xml:space="preserve"> </w:t>
      </w:r>
      <w:r>
        <w:t xml:space="preserve">cohérents avec le métier.</w:t>
      </w:r>
    </w:p>
    <w:p>
      <w:pPr>
        <w:pStyle w:val="BodyText"/>
      </w:pPr>
      <w:r>
        <w:t xml:space="preserve">L’</w:t>
      </w:r>
      <w:r>
        <w:rPr>
          <w:bCs/>
          <w:b/>
        </w:rPr>
        <w:t xml:space="preserve">entropie</w:t>
      </w:r>
      <w:r>
        <w:t xml:space="preserve"> </w:t>
      </w:r>
      <w:r>
        <w:t xml:space="preserve">des motifs de désistement et la</w:t>
      </w:r>
      <w:r>
        <w:t xml:space="preserve"> </w:t>
      </w:r>
      <w:r>
        <w:rPr>
          <w:bCs/>
          <w:b/>
        </w:rPr>
        <w:t xml:space="preserve">divergence de</w:t>
      </w:r>
      <w:r>
        <w:rPr>
          <w:bCs/>
          <w:b/>
        </w:rPr>
        <w:t xml:space="preserve"> </w:t>
      </w:r>
      <w:r>
        <w:rPr>
          <w:bCs/>
          <w:b/>
        </w:rPr>
        <w:t xml:space="preserve">Kullback-Leibler</w:t>
      </w:r>
      <w:r>
        <w:t xml:space="preserve"> </w:t>
      </w:r>
      <w:r>
        <w:t xml:space="preserve">entre le profil de chaque agence et le profil groupe</w:t>
      </w:r>
      <w:r>
        <w:t xml:space="preserve"> </w:t>
      </w:r>
      <w:r>
        <w:t xml:space="preserve">apportent un résultat inattendu (Figure 12) : l’agence de</w:t>
      </w:r>
      <w:r>
        <w:t xml:space="preserve"> </w:t>
      </w:r>
      <w:r>
        <w:t xml:space="preserve">Salon-de-Provence s’écarte de trois bits du profil groupe, non par un</w:t>
      </w:r>
      <w:r>
        <w:t xml:space="preserve"> </w:t>
      </w:r>
      <w:r>
        <w:t xml:space="preserve">comportement client différent, mais parce que 90 % de ses motifs sont</w:t>
      </w:r>
      <w:r>
        <w:t xml:space="preserve"> </w:t>
      </w:r>
      <w:r>
        <w:t xml:space="preserve">saisis en « Autres motifs » — la divergence sert ici de détecteur de</w:t>
      </w:r>
      <w:r>
        <w:t xml:space="preserve"> </w:t>
      </w:r>
      <w:r>
        <w:t xml:space="preserve">qualité de saisie, à fiabiliser avant toute analyse commerciale.</w:t>
      </w:r>
    </w:p>
    <w:p>
      <w:pPr>
        <w:pStyle w:val="CaptionedFigure"/>
      </w:pPr>
      <w:r>
        <w:drawing>
          <wp:inline>
            <wp:extent cx="5334000" cy="1907128"/>
            <wp:effectExtent b="0" l="0" r="0" t="0"/>
            <wp:docPr descr="Figure 12 — Divergence de Kullback-Leibler entre le profil des motifs de désistement de chaque agence et le profil groupe (notebook 06)." title="" id="67" name="Picture"/>
            <a:graphic>
              <a:graphicData uri="http://schemas.openxmlformats.org/drawingml/2006/picture">
                <pic:pic>
                  <pic:nvPicPr>
                    <pic:cNvPr descr="figures/fig12_divergence_kl_agences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7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12 — Divergence de Kullback-Leibler entre le profil des motifs de désistement de chaque agence et le profil groupe (notebook 06).</w:t>
      </w:r>
    </w:p>
    <w:p>
      <w:pPr>
        <w:pStyle w:val="BodyText"/>
      </w:pPr>
      <w:r>
        <w:t xml:space="preserve">Le second gisement est relationnel : le graphe biparti vendeurs-opérations</w:t>
      </w:r>
      <w:r>
        <w:t xml:space="preserve"> </w:t>
      </w:r>
      <w:r>
        <w:t xml:space="preserve">(209 vendeurs à au moins trois dossiers, Figure 13) révèle une</w:t>
      </w:r>
      <w:r>
        <w:t xml:space="preserve"> </w:t>
      </w:r>
      <w:r>
        <w:t xml:space="preserve">concentration commerciale forte — deux acteurs, le réseau de vente interne</w:t>
      </w:r>
      <w:r>
        <w:t xml:space="preserve"> </w:t>
      </w:r>
      <w:r>
        <w:t xml:space="preserve">et un prescripteur externe, concentrent 51,6 % des dossiers attribués et</w:t>
      </w:r>
      <w:r>
        <w:t xml:space="preserve"> </w:t>
      </w:r>
      <w:r>
        <w:t xml:space="preserve">les plus fortes centralités d’intermédiarité. Le taux de désistement varie</w:t>
      </w:r>
      <w:r>
        <w:t xml:space="preserve"> </w:t>
      </w:r>
      <w:r>
        <w:t xml:space="preserve">du simple au triple entre ces deux pivots (environ 9 % contre 30 %), alors</w:t>
      </w:r>
      <w:r>
        <w:t xml:space="preserve"> </w:t>
      </w:r>
      <w:r>
        <w:t xml:space="preserve">que les vendeurs centraux pris ensemble désistent légèrement moins que les</w:t>
      </w:r>
      <w:r>
        <w:t xml:space="preserve"> </w:t>
      </w:r>
      <w:r>
        <w:t xml:space="preserve">périphériques : le facteur de risque n’est pas la centralité mais</w:t>
      </w:r>
      <w:r>
        <w:t xml:space="preserve"> </w:t>
      </w:r>
      <w:r>
        <w:t xml:space="preserve">l’hétérogénéité entre prescripteurs, ce qui pose la question du coût des</w:t>
      </w:r>
      <w:r>
        <w:t xml:space="preserve"> </w:t>
      </w:r>
      <w:r>
        <w:t xml:space="preserve">commissions versées sur des dossiers qui n’aboutissent pas.</w:t>
      </w:r>
    </w:p>
    <w:p>
      <w:pPr>
        <w:pStyle w:val="CaptionedFigure"/>
      </w:pPr>
      <w:r>
        <w:drawing>
          <wp:inline>
            <wp:extent cx="5334000" cy="4114036"/>
            <wp:effectExtent b="0" l="0" r="0" t="0"/>
            <wp:docPr descr="Figure 13 — Projection du réseau vendeurs-opérations : taille des nœuds proportionnelle au nombre de dossiers, couleurs par communauté (notebook 06)." title="" id="70" name="Picture"/>
            <a:graphic>
              <a:graphicData uri="http://schemas.openxmlformats.org/drawingml/2006/picture">
                <pic:pic>
                  <pic:nvPicPr>
                    <pic:cNvPr descr="figures/fig13_reseau_vendeur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4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13 — Projection du réseau vendeurs-opérations : taille des nœuds proportionnelle au nombre de dossiers, couleurs par communauté (notebook 06).</w:t>
      </w:r>
    </w:p>
    <w:bookmarkEnd w:id="72"/>
    <w:bookmarkEnd w:id="73"/>
    <w:bookmarkStart w:id="83" w:name="plateforme-streamlit"/>
    <w:p>
      <w:pPr>
        <w:pStyle w:val="Heading1"/>
      </w:pPr>
      <w:r>
        <w:t xml:space="preserve">Plateforme Streamlit</w:t>
      </w:r>
    </w:p>
    <w:p>
      <w:pPr>
        <w:pStyle w:val="FirstParagraph"/>
      </w:pPr>
      <w:r>
        <w:t xml:space="preserve">La plateforme est l’aboutissement du projet : une application web de cinq</w:t>
      </w:r>
      <w:r>
        <w:t xml:space="preserve"> </w:t>
      </w:r>
      <w:r>
        <w:t xml:space="preserve">pages, branchée sur la base SQLite et les modèles entraînés, dont le</w:t>
      </w:r>
      <w:r>
        <w:t xml:space="preserve"> </w:t>
      </w:r>
      <w:r>
        <w:t xml:space="preserve">périmètre est restreint aux 147 opérations de promotion. Sa conception a</w:t>
      </w:r>
      <w:r>
        <w:t xml:space="preserve"> </w:t>
      </w:r>
      <w:r>
        <w:t xml:space="preserve">été guidée par un principe : chaque page commence par la décision qu’elle</w:t>
      </w:r>
      <w:r>
        <w:t xml:space="preserve"> </w:t>
      </w:r>
      <w:r>
        <w:t xml:space="preserve">permet de prendre, et aucun terme de modélisation n’apparaît à l’écran.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 </w:t>
      </w:r>
      <w:r>
        <w:t xml:space="preserve">(Figure 14) donne la situation en quelques</w:t>
      </w:r>
      <w:r>
        <w:t xml:space="preserve"> </w:t>
      </w:r>
      <w:r>
        <w:t xml:space="preserve">secondes : 147 opérations suivies, 10 en alerte (et 2 à surveiller), 421</w:t>
      </w:r>
      <w:r>
        <w:t xml:space="preserve"> </w:t>
      </w:r>
      <w:r>
        <w:t xml:space="preserve">lots principaux en stock, un rythme récent de 4,8 réservations par</w:t>
      </w:r>
      <w:r>
        <w:t xml:space="preserve"> </w:t>
      </w:r>
      <w:r>
        <w:t xml:space="preserve">opération et par mois pour un taux de crédit à 3,11 %, et la liste courte</w:t>
      </w:r>
      <w:r>
        <w:t xml:space="preserve"> </w:t>
      </w:r>
      <w:r>
        <w:t xml:space="preserve">des opérations à examiner en priorité.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Figure 14 — Plateforme, page « Vue d’ensemble » : indicateurs clés et opérations à examiner en priorité." title="" id="75" name="Picture"/>
            <a:graphic>
              <a:graphicData uri="http://schemas.openxmlformats.org/drawingml/2006/picture">
                <pic:pic>
                  <pic:nvPicPr>
                    <pic:cNvPr descr="figures/plateforme_vue_ensembl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14 — Plateforme, page « Vue d’ensemble » : indicateurs clés et opérations à examiner en priorité.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 </w:t>
      </w:r>
      <w:r>
        <w:t xml:space="preserve">(Figure 15) décline le score de l’axe A en</w:t>
      </w:r>
      <w:r>
        <w:t xml:space="preserve"> </w:t>
      </w:r>
      <w:r>
        <w:t xml:space="preserve">trois niveaux lisibles (alerte, à surveiller, conforme) sur les 68</w:t>
      </w:r>
      <w:r>
        <w:t xml:space="preserve"> </w:t>
      </w:r>
      <w:r>
        <w:t xml:space="preserve">opérations en cours suffisamment engagées, avec pour chacune la marge</w:t>
      </w:r>
      <w:r>
        <w:t xml:space="preserve"> </w:t>
      </w:r>
      <w:r>
        <w:t xml:space="preserve">budgétée, les dépassements déjà engagés en euros et leur impact sur la</w:t>
      </w:r>
      <w:r>
        <w:t xml:space="preserve"> </w:t>
      </w:r>
      <w:r>
        <w:t xml:space="preserve">marge, puis le détail des postes en dépassement pour l’opération</w:t>
      </w:r>
      <w:r>
        <w:t xml:space="preserve"> </w:t>
      </w:r>
      <w:r>
        <w:t xml:space="preserve">sélectionnée.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transpose l’axe B en simulateur :</w:t>
      </w:r>
      <w:r>
        <w:t xml:space="preserve"> </w:t>
      </w:r>
      <w:r>
        <w:t xml:space="preserve">un curseur de taux 2026 produit une phrase de résultat (« si les taux</w:t>
      </w:r>
      <w:r>
        <w:t xml:space="preserve"> </w:t>
      </w:r>
      <w:r>
        <w:t xml:space="preserve">passent à X %, le rythme attendu est de Y réservations par mois »), fondée</w:t>
      </w:r>
      <w:r>
        <w:t xml:space="preserve"> </w:t>
      </w:r>
      <w:r>
        <w:t xml:space="preserve">sur l’élasticité du panel ; la trajectoire d’écoulement de chaque</w:t>
      </w:r>
      <w:r>
        <w:t xml:space="preserve"> </w:t>
      </w:r>
      <w:r>
        <w:t xml:space="preserve">programme et son délai estimé complètent la page. La page</w:t>
      </w:r>
      <w:r>
        <w:t xml:space="preserve"> </w:t>
      </w:r>
      <w:r>
        <w:rPr>
          <w:bCs/>
          <w:b/>
        </w:rPr>
        <w:t xml:space="preserve">Pilotage des</w:t>
      </w:r>
      <w:r>
        <w:rPr>
          <w:bCs/>
          <w:b/>
        </w:rPr>
        <w:t xml:space="preserve"> </w:t>
      </w:r>
      <w:r>
        <w:rPr>
          <w:bCs/>
          <w:b/>
        </w:rPr>
        <w:t xml:space="preserve">prix</w:t>
      </w:r>
      <w:r>
        <w:t xml:space="preserve"> </w:t>
      </w:r>
      <w:r>
        <w:t xml:space="preserve">(Figure 16) affiche le diagnostic du stock (dans le marché,</w:t>
      </w:r>
      <w:r>
        <w:t xml:space="preserve"> </w:t>
      </w:r>
      <w:r>
        <w:t xml:space="preserve">au-dessus, en dessous) et le simulateur d’ajustement de l’axe C, qui</w:t>
      </w:r>
      <w:r>
        <w:t xml:space="preserve"> </w:t>
      </w:r>
      <w:r>
        <w:t xml:space="preserve">produit une grille de prix recommandée lot par lot sous un objectif</w:t>
      </w:r>
      <w:r>
        <w:t xml:space="preserve"> </w:t>
      </w:r>
      <w:r>
        <w:t xml:space="preserve">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enfin</w:t>
      </w:r>
      <w:r>
        <w:t xml:space="preserve"> </w:t>
      </w:r>
      <w:r>
        <w:t xml:space="preserve">reprend les signaux faibles : motifs de désistement par agence (avec</w:t>
      </w:r>
      <w:r>
        <w:t xml:space="preserve"> </w:t>
      </w:r>
      <w:r>
        <w:t xml:space="preserve">l’alerte de qualité de saisie sur Salon-de-Provence) et recherche de</w:t>
      </w:r>
      <w:r>
        <w:t xml:space="preserve"> </w:t>
      </w:r>
      <w:r>
        <w:t xml:space="preserve">dossiers similaires dans les commentaires.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Figure 15 — Plateforme, page « Alertes marge » : niveaux d’alerte, taux d’engagement et dépassements engagés par opération." title="" id="78" name="Picture"/>
            <a:graphic>
              <a:graphicData uri="http://schemas.openxmlformats.org/drawingml/2006/picture">
                <pic:pic>
                  <pic:nvPicPr>
                    <pic:cNvPr descr="figures/plateforme_alerte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15 — Plateforme, page « Alertes marge » : niveaux d’alerte, taux d’engagement et dépassements engagés par opération.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Figure 16 — Plateforme, page « Pilotage des prix » : diagnostic du stock et grille d’ajustement recommandée." title="" id="81" name="Picture"/>
            <a:graphic>
              <a:graphicData uri="http://schemas.openxmlformats.org/drawingml/2006/picture">
                <pic:pic>
                  <pic:nvPicPr>
                    <pic:cNvPr descr="figures/plateforme_prix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16 — Plateforme, page « Pilotage des prix » : diagnostic du stock et grille d’ajustement recommandée.</w:t>
      </w:r>
    </w:p>
    <w:p>
      <w:pPr>
        <w:pStyle w:val="BodyText"/>
      </w:pPr>
      <w:r>
        <w:t xml:space="preserve">Techniquement, l’application ré-entraîne à la volée les modèles rapides</w:t>
      </w:r>
      <w:r>
        <w:t xml:space="preserve"> </w:t>
      </w:r>
      <w:r>
        <w:t xml:space="preserve">(le modèle de prix s’ajuste en quelques secondes sur 5 000 lignes, avec</w:t>
      </w:r>
      <w:r>
        <w:t xml:space="preserve"> </w:t>
      </w:r>
      <w:r>
        <w:t xml:space="preserve">mise en cache), charge le classifieur de risque sérialisé par le notebook</w:t>
      </w:r>
      <w:r>
        <w:t xml:space="preserve"> </w:t>
      </w:r>
      <w:r>
        <w:t xml:space="preserve">de l’axe A, et reconstruit la base si elle est absente : l’ensemble reste</w:t>
      </w:r>
      <w:r>
        <w:t xml:space="preserve"> </w:t>
      </w:r>
      <w:r>
        <w:t xml:space="preserve">reproductible depuis les exports bruts. Chaque page a été vérifiée par le</w:t>
      </w:r>
      <w:r>
        <w:t xml:space="preserve"> </w:t>
      </w:r>
      <w:r>
        <w:t xml:space="preserve">cadre de test de Streamlit (exécution sans exception, y compris sur les</w:t>
      </w:r>
      <w:r>
        <w:t xml:space="preserve"> </w:t>
      </w:r>
      <w:r>
        <w:t xml:space="preserve">valeurs extrêmes des curseurs et les sélections vides).</w:t>
      </w:r>
    </w:p>
    <w:bookmarkEnd w:id="83"/>
    <w:bookmarkStart w:id="84" w:name="périmètre-et-limites"/>
    <w:p>
      <w:pPr>
        <w:pStyle w:val="Heading1"/>
      </w:pPr>
      <w:r>
        <w:t xml:space="preserve">Périmètre et limites</w:t>
      </w:r>
    </w:p>
    <w:p>
      <w:pPr>
        <w:pStyle w:val="FirstParagraph"/>
      </w:pPr>
      <w:r>
        <w:t xml:space="preserve">Je termine par les limites, parce qu’elles font partie du résultat et que</w:t>
      </w:r>
      <w:r>
        <w:t xml:space="preserve"> </w:t>
      </w:r>
      <w:r>
        <w:t xml:space="preserve">je préfère les énoncer moi-même.</w:t>
      </w:r>
    </w:p>
    <w:p>
      <w:pPr>
        <w:pStyle w:val="BodyText"/>
      </w:pPr>
      <w:r>
        <w:t xml:space="preserve">La première est structurelle : les données budgétaires sont une</w:t>
      </w:r>
      <w:r>
        <w:t xml:space="preserve"> </w:t>
      </w:r>
      <w:r>
        <w:rPr>
          <w:bCs/>
          <w:b/>
        </w:rPr>
        <w:t xml:space="preserve">photographie à date</w:t>
      </w:r>
      <w:r>
        <w:t xml:space="preserve">, sans historique des révisions. La cible de l’axe</w:t>
      </w:r>
      <w:r>
        <w:t xml:space="preserve"> </w:t>
      </w:r>
      <w:r>
        <w:t xml:space="preserve">A ne mesure donc que les dépassements déjà engagés à la date de l’export ;</w:t>
      </w:r>
      <w:r>
        <w:t xml:space="preserve"> </w:t>
      </w:r>
      <w:r>
        <w:t xml:space="preserve">elle est bornée par construction (les économies ne sont pas modélisées) et</w:t>
      </w:r>
      <w:r>
        <w:t xml:space="preserve"> </w:t>
      </w:r>
      <w:r>
        <w:t xml:space="preserve">le risque de recettes relève de l’axe B. Un historique de photographies</w:t>
      </w:r>
      <w:r>
        <w:t xml:space="preserve"> </w:t>
      </w:r>
      <w:r>
        <w:t xml:space="preserve">mensuelles, désormais possible avec le nouvel ERP, transformerait ce score</w:t>
      </w:r>
      <w:r>
        <w:t xml:space="preserve"> </w:t>
      </w:r>
      <w:r>
        <w:t xml:space="preserve">statique en véritable suivi dynamique.</w:t>
      </w:r>
    </w:p>
    <w:p>
      <w:pPr>
        <w:pStyle w:val="BodyText"/>
      </w:pPr>
      <w:r>
        <w:t xml:space="preserve">La deuxième est l’</w:t>
      </w:r>
      <w:r>
        <w:rPr>
          <w:bCs/>
          <w:b/>
        </w:rPr>
        <w:t xml:space="preserve">échantillon</w:t>
      </w:r>
      <w:r>
        <w:t xml:space="preserve"> </w:t>
      </w:r>
      <w:r>
        <w:t xml:space="preserve">: 123 opérations exploitables pour</w:t>
      </w:r>
      <w:r>
        <w:t xml:space="preserve"> </w:t>
      </w:r>
      <w:r>
        <w:t xml:space="preserve">l’axe A, c’est peu, et les scores de classification (F1 de l’ordre de</w:t>
      </w:r>
      <w:r>
        <w:t xml:space="preserve"> </w:t>
      </w:r>
      <w:r>
        <w:t xml:space="preserve">0,3) le reflètent. J’ai préféré des modèles régularisés, validés en</w:t>
      </w:r>
      <w:r>
        <w:t xml:space="preserve"> </w:t>
      </w:r>
      <w:r>
        <w:t xml:space="preserve">validation croisée et présentés avec leur dispersion, à des architectures</w:t>
      </w:r>
      <w:r>
        <w:t xml:space="preserve"> </w:t>
      </w:r>
      <w:r>
        <w:t xml:space="preserve">plus flexibles qui auraient sur-ajusté — le perceptron multicouche testé</w:t>
      </w:r>
      <w:r>
        <w:t xml:space="preserve"> </w:t>
      </w:r>
      <w:r>
        <w:t xml:space="preserve">en fait la démonstration.</w:t>
      </w:r>
    </w:p>
    <w:p>
      <w:pPr>
        <w:pStyle w:val="BodyText"/>
      </w:pPr>
      <w:r>
        <w:t xml:space="preserve">La troisième concerne l’axe C : l’</w:t>
      </w:r>
      <w:r>
        <w:rPr>
          <w:bCs/>
          <w:b/>
        </w:rPr>
        <w:t xml:space="preserve">élasticité prix-demande</w:t>
      </w:r>
      <w:r>
        <w:t xml:space="preserve"> </w:t>
      </w:r>
      <w:r>
        <w:t xml:space="preserve">utilisée</w:t>
      </w:r>
      <w:r>
        <w:t xml:space="preserve"> </w:t>
      </w:r>
      <w:r>
        <w:t xml:space="preserve">par l’optimiseur est une valeur agrégée, appuyée sur la littérature faute</w:t>
      </w:r>
      <w:r>
        <w:t xml:space="preserve"> </w:t>
      </w:r>
      <w:r>
        <w:t xml:space="preserve">d’estimation interne significative, et appliquée uniformément à des lots</w:t>
      </w:r>
      <w:r>
        <w:t xml:space="preserve"> </w:t>
      </w:r>
      <w:r>
        <w:t xml:space="preserve">hétérogènes ; les recommandations de prix sont des aides à la décision,</w:t>
      </w:r>
      <w:r>
        <w:t xml:space="preserve"> </w:t>
      </w:r>
      <w:r>
        <w:t xml:space="preserve">pas des prix opposables, et la grille reste sous le contrôle de la</w:t>
      </w:r>
      <w:r>
        <w:t xml:space="preserve"> </w:t>
      </w:r>
      <w:r>
        <w:t xml:space="preserve">direction commerciale. De même, les intervalles de prévision de l’axe B</w:t>
      </w:r>
      <w:r>
        <w:t xml:space="preserve"> </w:t>
      </w:r>
      <w:r>
        <w:t xml:space="preserve">ignorent l’incertitude sur les taux futurs eux-mêmes — c’est précisément</w:t>
      </w:r>
      <w:r>
        <w:t xml:space="preserve"> </w:t>
      </w:r>
      <w:r>
        <w:t xml:space="preserve">pourquoi la plateforme présente des scénarios plutôt qu’une prévision</w:t>
      </w:r>
      <w:r>
        <w:t xml:space="preserve"> </w:t>
      </w:r>
      <w:r>
        <w:t xml:space="preserve">unique.</w:t>
      </w:r>
    </w:p>
    <w:p>
      <w:pPr>
        <w:pStyle w:val="BodyText"/>
      </w:pPr>
      <w:r>
        <w:t xml:space="preserve">Enfin, le</w:t>
      </w:r>
      <w:r>
        <w:t xml:space="preserve"> </w:t>
      </w:r>
      <w:r>
        <w:rPr>
          <w:bCs/>
          <w:b/>
        </w:rPr>
        <w:t xml:space="preserve">périmètre</w:t>
      </w:r>
      <w:r>
        <w:t xml:space="preserve"> </w:t>
      </w:r>
      <w:r>
        <w:t xml:space="preserve">: la plateforme couvre la promotion immobilière</w:t>
      </w:r>
      <w:r>
        <w:t xml:space="preserve"> </w:t>
      </w:r>
      <w:r>
        <w:t xml:space="preserve">(147 opérations) et exclut l’aménagement foncier, dont la logique</w:t>
      </w:r>
      <w:r>
        <w:t xml:space="preserve"> </w:t>
      </w:r>
      <w:r>
        <w:t xml:space="preserve">économique — vente de terrains viabilisés, cycles et structures de coûts</w:t>
      </w:r>
      <w:r>
        <w:t xml:space="preserve"> </w:t>
      </w:r>
      <w:r>
        <w:t xml:space="preserve">différents — justifierait un traitement dédié. Les notebooks, eux,</w:t>
      </w:r>
      <w:r>
        <w:t xml:space="preserve"> </w:t>
      </w:r>
      <w:r>
        <w:t xml:space="preserve">conservent l’ensemble des 267 opérations : la frontière entre les deux</w:t>
      </w:r>
      <w:r>
        <w:t xml:space="preserve"> </w:t>
      </w:r>
      <w:r>
        <w:t xml:space="preserve">activités y est retrouvée par l’analyse elle-même, ce qui valide a</w:t>
      </w:r>
      <w:r>
        <w:t xml:space="preserve"> </w:t>
      </w:r>
      <w:r>
        <w:t xml:space="preserve">posteriori ce choix de périmètre. Ces limites dessinent la suite naturelle</w:t>
      </w:r>
      <w:r>
        <w:t xml:space="preserve"> </w:t>
      </w:r>
      <w:r>
        <w:t xml:space="preserve">du projet : historiser les photographies budgétaires, ré-estimer</w:t>
      </w:r>
      <w:r>
        <w:t xml:space="preserve"> </w:t>
      </w:r>
      <w:r>
        <w:t xml:space="preserve">l’élasticité sur données enrichies, et étendre le copilote à</w:t>
      </w:r>
      <w:r>
        <w:t xml:space="preserve"> </w:t>
      </w:r>
      <w:r>
        <w:t xml:space="preserve">l’aménagement.</w:t>
      </w:r>
    </w:p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69" Target="media/rId69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 : un outil d’aide à la décision pour le pilotage des opérations de promotion</dc:title>
  <dc:creator>Yasmina Saoud — Master MIASHS, Université Paul Valéry Montpellier III</dc:creator>
  <dc:language>fr</dc:language>
  <cp:keywords/>
  <dcterms:created xsi:type="dcterms:W3CDTF">2026-08-15T16:27:28Z</dcterms:created>
  <dcterms:modified xsi:type="dcterms:W3CDTF">2026-08-15T16:27:28Z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Année universitaire 2025-2026</vt:lpwstr>
  </property>
  <property fmtid="{D5CDD505-2E9C-101B-9397-08002B2CF9AE}" pid="3" name="output">
    <vt:lpwstr/>
  </property>
</Properties>
</file>