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6.png" ContentType="image/png"/>
  <Override PartName="/word/media/rId42.png" ContentType="image/png"/>
  <Override PartName="/word/media/rId46.png" ContentType="image/png"/>
  <Override PartName="/word/media/rId51.png" ContentType="image/png"/>
  <Override PartName="/word/media/rId55.png" ContentType="image/png"/>
  <Override PartName="/word/media/rId68.png" ContentType="image/png"/>
  <Override PartName="/word/media/rId75.png" ContentType="image/png"/>
  <Override PartName="/word/media/rId79.png" ContentType="image/png"/>
  <Override PartName="/word/media/rId88.png" ContentType="image/png"/>
  <Override PartName="/word/media/rId95.png" ContentType="image/png"/>
  <Override PartName="/word/media/rId113.png" ContentType="image/png"/>
  <Override PartName="/word/media/rId116.png" ContentType="image/png"/>
  <Override PartName="/word/media/rId121.png" ContentType="image/png"/>
  <Override PartName="/word/media/rId125.png" ContentType="image/png"/>
  <Override PartName="/word/media/rId128.png" ContentType="image/png"/>
  <Override PartName="/word/media/rId132.png" ContentType="image/png"/>
  <Override PartName="/word/media/rId135.png" ContentType="image/png"/>
  <Override PartName="/word/media/rId141.png" ContentType="image/png"/>
  <Override PartName="/word/media/rId144.png" ContentType="image/png"/>
  <Override PartName="/word/media/rId1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</w:t>
      </w:r>
      <w:r>
        <w:t xml:space="preserve"> </w:t>
      </w:r>
      <w:r>
        <w:t xml:space="preserve">Data</w:t>
      </w:r>
      <w:r>
        <w:t xml:space="preserve"> </w:t>
      </w:r>
      <w:r>
        <w:t xml:space="preserve">Engineering</w:t>
      </w:r>
      <w:r>
        <w:t xml:space="preserve"> </w:t>
      </w:r>
      <w:r>
        <w:t xml:space="preserve">à</w:t>
      </w:r>
      <w:r>
        <w:t xml:space="preserve"> </w:t>
      </w:r>
      <w:r>
        <w:t xml:space="preserve">la</w:t>
      </w:r>
      <w:r>
        <w:t xml:space="preserve"> </w:t>
      </w:r>
      <w:r>
        <w:t xml:space="preserve">Data</w:t>
      </w:r>
      <w:r>
        <w:t xml:space="preserve"> </w:t>
      </w:r>
      <w:r>
        <w:t xml:space="preserve">Science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remerciements"/>
    <w:p>
      <w:pPr>
        <w:pStyle w:val="Heading1"/>
      </w:pPr>
      <w:r>
        <w:t xml:space="preserve">Remerciements</w:t>
      </w:r>
    </w:p>
    <w:p>
      <w:pPr>
        <w:pStyle w:val="FirstParagraph"/>
      </w:pPr>
      <w:r>
        <w:t xml:space="preserve">Je souhaite exprimer ma sincère gratitude à toutes les personnes qui ont contribué à mon</w:t>
      </w:r>
      <w:r>
        <w:t xml:space="preserve"> </w:t>
      </w:r>
      <w:r>
        <w:t xml:space="preserve">intégration et à ma progression professionnelle tout au long de mon alternance au sein de la</w:t>
      </w:r>
      <w:r>
        <w:t xml:space="preserve"> </w:t>
      </w:r>
      <w:r>
        <w:t xml:space="preserve">Holding SPA du groupe Angelotti.</w:t>
      </w:r>
    </w:p>
    <w:p>
      <w:pPr>
        <w:pStyle w:val="BodyText"/>
      </w:pPr>
      <w:r>
        <w:t xml:space="preserve">En premier lieu, je remercie chaleureusement ma tutrice en entreprise, Sabine Cruanas, pour</w:t>
      </w:r>
      <w:r>
        <w:t xml:space="preserve"> </w:t>
      </w:r>
      <w:r>
        <w:t xml:space="preserve">son accompagnement constant, sa bienveillance et le partage de ses connaissances. Son</w:t>
      </w:r>
      <w:r>
        <w:t xml:space="preserve"> </w:t>
      </w:r>
      <w:r>
        <w:t xml:space="preserve">expertise et son soutien ont été déterminants dans ma montée en compétences, tant sur le</w:t>
      </w:r>
      <w:r>
        <w:t xml:space="preserve"> </w:t>
      </w:r>
      <w:r>
        <w:t xml:space="preserve">plan technique que méthodologique.</w:t>
      </w:r>
    </w:p>
    <w:p>
      <w:pPr>
        <w:pStyle w:val="BodyText"/>
      </w:pPr>
      <w:r>
        <w:t xml:space="preserve">Je tiens également à remercier Mme Trottier, ma tutrice universitaire, pour son suivi</w:t>
      </w:r>
      <w:r>
        <w:t xml:space="preserve"> </w:t>
      </w:r>
      <w:r>
        <w:t xml:space="preserve">rigoureux et ses conseils avisés. Je remercie aussi l’ensemble des équipes d’Angelotti avec</w:t>
      </w:r>
      <w:r>
        <w:t xml:space="preserve"> </w:t>
      </w:r>
      <w:r>
        <w:t xml:space="preserve">lesquelles j’ai collaboré, en particulier la direction financière et les équipes</w:t>
      </w:r>
      <w:r>
        <w:t xml:space="preserve"> </w:t>
      </w:r>
      <w:r>
        <w:t xml:space="preserve">commerciales, dont la disponibilité et les retours constructifs ont été essentiels pour</w:t>
      </w:r>
      <w:r>
        <w:t xml:space="preserve"> </w:t>
      </w:r>
      <w:r>
        <w:t xml:space="preserve">adapter mes réalisations aux besoins concrets de l’entreprise. C’est en écoutant leurs</w:t>
      </w:r>
      <w:r>
        <w:t xml:space="preserve"> </w:t>
      </w:r>
      <w:r>
        <w:t xml:space="preserve">objections que la plupart de mes livrables ont pris leur forme définitive.</w:t>
      </w:r>
    </w:p>
    <w:p>
      <w:pPr>
        <w:pStyle w:val="BodyText"/>
      </w:pPr>
      <w:r>
        <w:t xml:space="preserve">Enfin, je remercie le groupe Angelotti pour m’avoir offert cette opportunité d’alternance</w:t>
      </w:r>
      <w:r>
        <w:t xml:space="preserve"> </w:t>
      </w:r>
      <w:r>
        <w:t xml:space="preserve">dans un environnement professionnel enrichissant, ainsi que mon université et l’équipe</w:t>
      </w:r>
      <w:r>
        <w:t xml:space="preserve"> </w:t>
      </w:r>
      <w:r>
        <w:t xml:space="preserve">pédagogique du Master MIASHS pour leur accompagnement tout au long de ce parcours. Merci à</w:t>
      </w:r>
      <w:r>
        <w:t xml:space="preserve"> </w:t>
      </w:r>
      <w:r>
        <w:t xml:space="preserve">toutes et à tous pour votre confiance et votre soutien.</w:t>
      </w:r>
    </w:p>
    <w:bookmarkEnd w:id="20"/>
    <w:bookmarkStart w:id="21" w:name="résumé"/>
    <w:p>
      <w:pPr>
        <w:pStyle w:val="Heading1"/>
      </w:pPr>
      <w:r>
        <w:t xml:space="preserve">Résumé</w:t>
      </w:r>
    </w:p>
    <w:p>
      <w:pPr>
        <w:pStyle w:val="FirstParagraph"/>
      </w:pPr>
      <w:r>
        <w:t xml:space="preserve">Ce mémoire présente les travaux que j’ai conduits durant ma deuxième année de Master MIASHS,</w:t>
      </w:r>
      <w:r>
        <w:t xml:space="preserve"> </w:t>
      </w:r>
      <w:r>
        <w:t xml:space="preserve">en alternance au sein de la Holding SPA du groupe Angelotti, promoteur-aménageur implanté en</w:t>
      </w:r>
      <w:r>
        <w:t xml:space="preserve"> </w:t>
      </w:r>
      <w:r>
        <w:t xml:space="preserve">Occitanie et en région PACA. L’année a été dominée par une transformation structurante du</w:t>
      </w:r>
      <w:r>
        <w:t xml:space="preserve"> </w:t>
      </w:r>
      <w:r>
        <w:t xml:space="preserve">système d’information : le remplacement de l’ERP historique Grimmo par la solution SPO,</w:t>
      </w:r>
      <w:r>
        <w:t xml:space="preserve"> </w:t>
      </w:r>
      <w:r>
        <w:t xml:space="preserve">éditée par Salvia.</w:t>
      </w:r>
    </w:p>
    <w:p>
      <w:pPr>
        <w:pStyle w:val="BodyText"/>
      </w:pPr>
      <w:r>
        <w:t xml:space="preserve">Le premier semestre a été celui de l’ingénierie des données. J’y ai conçu et industrialisé</w:t>
      </w:r>
      <w:r>
        <w:t xml:space="preserve"> </w:t>
      </w:r>
      <w:r>
        <w:t xml:space="preserve">la reprise des données opérationnelles vers le nouvel ERP, sur un périmètre de 283</w:t>
      </w:r>
      <w:r>
        <w:t xml:space="preserve"> </w:t>
      </w:r>
      <w:r>
        <w:t xml:space="preserve">opérations immobilières, en m’appuyant sur les interfaces de programmation de l’éditeur. J’y</w:t>
      </w:r>
      <w:r>
        <w:t xml:space="preserve"> </w:t>
      </w:r>
      <w:r>
        <w:t xml:space="preserve">expose les difficultés algorithmiques rencontrées, notamment la gestion des identifiants</w:t>
      </w:r>
      <w:r>
        <w:t xml:space="preserve"> </w:t>
      </w:r>
      <w:r>
        <w:t xml:space="preserve">dynamiques et du versionnement des données budgétaires, ainsi que la stratégie de</w:t>
      </w:r>
      <w:r>
        <w:t xml:space="preserve"> </w:t>
      </w:r>
      <w:r>
        <w:t xml:space="preserve">déploiement en « coquilles vides » adoptée pour garantir la continuité de la facturation. En</w:t>
      </w:r>
      <w:r>
        <w:t xml:space="preserve"> </w:t>
      </w:r>
      <w:r>
        <w:t xml:space="preserve">parallèle, j’ai assuré le maintien du système décisionnel et participé au déploiement du</w:t>
      </w:r>
      <w:r>
        <w:t xml:space="preserve"> </w:t>
      </w:r>
      <w:r>
        <w:t xml:space="preserve">Single Sign-On sur deux périmètres du groupe.</w:t>
      </w:r>
    </w:p>
    <w:p>
      <w:pPr>
        <w:pStyle w:val="BodyText"/>
      </w:pPr>
      <w:r>
        <w:t xml:space="preserve">Le second semestre a prolongé ce travail de structure, puis l’a valorisé. J’ai d’abord conduit</w:t>
      </w:r>
      <w:r>
        <w:t xml:space="preserve"> </w:t>
      </w:r>
      <w:r>
        <w:t xml:space="preserve">la reprise des tiers, c’est-à-dire des clients acquéreurs, en concevant une chaîne de traitement</w:t>
      </w:r>
      <w:r>
        <w:t xml:space="preserve"> </w:t>
      </w:r>
      <w:r>
        <w:t xml:space="preserve">entièrement pilotée par formules qui a permis de créer 1 434 tiers dans SPO à partir de 1 602</w:t>
      </w:r>
      <w:r>
        <w:t xml:space="preserve"> </w:t>
      </w:r>
      <w:r>
        <w:t xml:space="preserve">lignes brutes, sans doublon détecté par les trois clés d’unicité retenues. J’ai ensuite mené de</w:t>
      </w:r>
      <w:r>
        <w:t xml:space="preserve"> </w:t>
      </w:r>
      <w:r>
        <w:t xml:space="preserve">bout en bout un projet de Data Science, le « Copilote Financier », qui outille la direction</w:t>
      </w:r>
      <w:r>
        <w:t xml:space="preserve"> </w:t>
      </w:r>
      <w:r>
        <w:t xml:space="preserve">financière sur trois questions de gestion : le risque de dérive des marges, le rythme</w:t>
      </w:r>
      <w:r>
        <w:t xml:space="preserve"> </w:t>
      </w:r>
      <w:r>
        <w:t xml:space="preserve">d’écoulement des programmes et le pilotage des prix du stock.</w:t>
      </w:r>
    </w:p>
    <w:p>
      <w:pPr>
        <w:pStyle w:val="BodyText"/>
      </w:pPr>
      <w:r>
        <w:t xml:space="preserve">Ce mémoire relit ensuite ces quatre missions transversalement, sous l’angle de la conduite de</w:t>
      </w:r>
      <w:r>
        <w:t xml:space="preserve"> </w:t>
      </w:r>
      <w:r>
        <w:t xml:space="preserve">projet, des technologies et des méthodes employées, des régimes de preuve mobilisés pour</w:t>
      </w:r>
      <w:r>
        <w:t xml:space="preserve"> </w:t>
      </w:r>
      <w:r>
        <w:t xml:space="preserve">évaluer chaque livrable et des difficultés rencontrées.</w:t>
      </w:r>
    </w:p>
    <w:p>
      <w:pPr>
        <w:pStyle w:val="BodyText"/>
      </w:pPr>
      <w:r>
        <w:t xml:space="preserve">De cette année, il tire une thèse qu’il s’attache à démontrer plutôt qu’à énoncer : la</w:t>
      </w:r>
      <w:r>
        <w:t xml:space="preserve"> </w:t>
      </w:r>
      <w:r>
        <w:t xml:space="preserve">structure de la donnée commande ce que la modélisation peut en tirer. Il se termine par</w:t>
      </w:r>
      <w:r>
        <w:t xml:space="preserve"> </w:t>
      </w:r>
      <w:r>
        <w:t xml:space="preserve">une réflexion sur le métier de data scientist tel que je l’ai pratiqué, et sur le projet</w:t>
      </w:r>
      <w:r>
        <w:t xml:space="preserve"> </w:t>
      </w:r>
      <w:r>
        <w:t xml:space="preserve">professionnel qui en découle.</w:t>
      </w:r>
    </w:p>
    <w:bookmarkEnd w:id="21"/>
    <w:bookmarkStart w:id="22" w:name="glossaire"/>
    <w:p>
      <w:pPr>
        <w:pStyle w:val="Heading1"/>
      </w:pPr>
      <w:r>
        <w:t xml:space="preserve">Glossaire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29"/>
        <w:gridCol w:w="5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Acte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légal qui officialise la vente d’un bien immobilier entre un vendeur et un acquéreur.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de vente lié à un lot immobilier, ouvert lors d’une réservation et suivi jusqu’à l’acte de vente. Par extension, désigne dans nos extractions l’acquéreur principal du dossier.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Aménagement foncier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Opération qui consiste à diviser un terrain en plusieurs lots viabilisés, destinés à la vente pour la 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de programmation applicative, qui permet à deux logiciels d’échanger des données sans passer par leur interface utilisateur.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Customer Relationship Management</w:t>
            </w:r>
            <w:r>
              <w:t xml:space="preserve">, outil de gestion de la relation client. Chez Angelotti, il s’agit de Vadimm.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Tableau de bord. Le mémoire emploie le terme au chapitre 5 pour désigner le livrable tel que la direction financière l’a demandé ; le corps du texte parle ensuite d’application web ou de plateforme.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Désistement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Renoncement d’un acquéreur à une réservation avant l’acte de vente.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de l’éditeur Salvia permettant d’injecter dans l’ERP des fichiers plats, sans passer par la saisie manuelle.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 Financier de Référence, l’un des exports budgétaires du système de gestion, qui donne pour chaque poste le budget, l’engagé et le facturé.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Enterprise Resource Planning</w:t>
            </w:r>
            <w:r>
              <w:t xml:space="preserve">, progiciel de gestion intégré couvrant l’ensemble des processus de l’entreprise.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Fiabilisation des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Ensemble des vérifications et corrections visant à garantir la cohérence et la justesse des données.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Électronique des Documents.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Grimmo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métier historique du groupe, remplacé cette année par SPO.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Terrain ou logement mis en vente, issu d’un découpage foncier ou d’un programme immobilier.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Ensemble de lots vendus groupés, souvent destiné à un promoteur ou investisseur pour un projet plus large.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Outil décisionnel du groupe, qui requête les bases de données sources et produit les tableaux de bord des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 immobilière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Activité consistant à concevoir, financer, construire et commercialiser des logements ou bâtiments neufs.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Création de tableaux de bord ou d’indicateurs à partir des données de gestion, souvent automatisée.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Éditeur de logiciels spécialisés dans la gestion immobilière, dont SPO.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Suivi des Programmes Opérationnels, l’ERP métier qui remplace Grimmo depuis cette année.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Single Sign-On</w:t>
            </w:r>
            <w:r>
              <w:t xml:space="preserve">, authentification unique donnant accès à plusieurs applications.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Surface habitable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 mesurée en mètres carrés, utilisée pour évaluer la taille d’un lot et estimer son prix.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SPO, entité désignant un client, une société ou un partenaire, à laquelle sont rattachés des rôles, des adresses et des coordonnées.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Subdivision d’une opération immobilière, distinguée selon qu’elle relève des travaux ou de la commercialisation.</w:t>
            </w:r>
          </w:p>
        </w:tc>
      </w:tr>
    </w:tbl>
    <w:bookmarkEnd w:id="22"/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Le groupe Angelotti, acteur de l’aménagement et de la promotion immobilière en Occitanie et</w:t>
      </w:r>
      <w:r>
        <w:t xml:space="preserve"> </w:t>
      </w:r>
      <w:r>
        <w:t xml:space="preserve">en région PACA, poursuit depuis plusieurs années la modernisation de son système</w:t>
      </w:r>
      <w:r>
        <w:t xml:space="preserve"> </w:t>
      </w:r>
      <w:r>
        <w:t xml:space="preserve">d’information. Après une première année d’alternance consacrée à la migration du CRM Vadimm,</w:t>
      </w:r>
      <w:r>
        <w:t xml:space="preserve"> </w:t>
      </w:r>
      <w:r>
        <w:t xml:space="preserve">ma deuxième année de Master MIASHS au sein de la Holding SPA a coïncidé avec l’étape la plus</w:t>
      </w:r>
      <w:r>
        <w:t xml:space="preserve"> </w:t>
      </w:r>
      <w:r>
        <w:t xml:space="preserve">lourde de cette transformation : la refonte complète de l’ERP métier, passant de l’outil</w:t>
      </w:r>
      <w:r>
        <w:t xml:space="preserve"> </w:t>
      </w:r>
      <w:r>
        <w:t xml:space="preserve">historique Grimmo à la solution SPO éditée par Salvia. Ce changement d’échelle m’a conduite</w:t>
      </w:r>
      <w:r>
        <w:t xml:space="preserve"> </w:t>
      </w:r>
      <w:r>
        <w:t xml:space="preserve">d’un rôle d’assistance opérationnelle vers des missions d’ingénierie, centrées sur</w:t>
      </w:r>
      <w:r>
        <w:t xml:space="preserve"> </w:t>
      </w:r>
      <w:r>
        <w:t xml:space="preserve">l’interopérabilité des systèmes.</w:t>
      </w:r>
    </w:p>
    <w:p>
      <w:pPr>
        <w:pStyle w:val="BodyText"/>
      </w:pPr>
      <w:r>
        <w:t xml:space="preserve">Ce mémoire présente les travaux réalisés durant cette année, du premier jour de la migration</w:t>
      </w:r>
      <w:r>
        <w:t xml:space="preserve"> </w:t>
      </w:r>
      <w:r>
        <w:t xml:space="preserve">jusqu’à la livraison d’une application d’aide à la décision. Il témoigne d’un mouvement en</w:t>
      </w:r>
      <w:r>
        <w:t xml:space="preserve"> </w:t>
      </w:r>
      <w:r>
        <w:t xml:space="preserve">deux temps : le passage de la Data Science exploratoire au Data Engineering appliqué, puis le</w:t>
      </w:r>
      <w:r>
        <w:t xml:space="preserve"> </w:t>
      </w:r>
      <w:r>
        <w:t xml:space="preserve">retour à la modélisation une fois les données reconstituées. L’ordre compte, et c’est de lui</w:t>
      </w:r>
      <w:r>
        <w:t xml:space="preserve"> </w:t>
      </w:r>
      <w:r>
        <w:t xml:space="preserve">que je tire la thèse de ce mémoire, énoncée d’emblée pour que le lecteur puisse en juger au</w:t>
      </w:r>
      <w:r>
        <w:t xml:space="preserve"> </w:t>
      </w:r>
      <w:r>
        <w:t xml:space="preserve">fil des chapitres :</w:t>
      </w:r>
      <w:r>
        <w:t xml:space="preserve"> </w:t>
      </w:r>
      <w:r>
        <w:rPr>
          <w:bCs/>
          <w:b/>
        </w:rPr>
        <w:t xml:space="preserve">la structure de la donnée commande ce que la modélisation peut en</w:t>
      </w:r>
      <w:r>
        <w:rPr>
          <w:bCs/>
          <w:b/>
        </w:rPr>
        <w:t xml:space="preserve"> </w:t>
      </w:r>
      <w:r>
        <w:rPr>
          <w:bCs/>
          <w:b/>
        </w:rPr>
        <w:t xml:space="preserve">tirer</w:t>
      </w:r>
      <w:r>
        <w:t xml:space="preserve">. Ce n’est pas une position théorique, c’est un constat que l’année a produit deux</w:t>
      </w:r>
      <w:r>
        <w:t xml:space="preserve"> </w:t>
      </w:r>
      <w:r>
        <w:t xml:space="preserve">fois. La première en creux, lorsque la charge de la migration a repoussé le projet de Machine</w:t>
      </w:r>
      <w:r>
        <w:t xml:space="preserve"> </w:t>
      </w:r>
      <w:r>
        <w:t xml:space="preserve">Learning au second semestre. La seconde en plein, lorsque ce projet a donné des résultats</w:t>
      </w:r>
      <w:r>
        <w:t xml:space="preserve"> </w:t>
      </w:r>
      <w:r>
        <w:t xml:space="preserve">solides là où les données avaient une profondeur temporelle, et modestes là où elles</w:t>
      </w:r>
      <w:r>
        <w:t xml:space="preserve"> </w:t>
      </w:r>
      <w:r>
        <w:t xml:space="preserve">n’étaient qu’une photographie à date.</w:t>
      </w:r>
    </w:p>
    <w:p>
      <w:pPr>
        <w:pStyle w:val="BodyText"/>
      </w:pPr>
      <w:r>
        <w:t xml:space="preserve">Sept chapitres suivent la progression de mes responsabilités. Le chapitre 1 pose le contexte</w:t>
      </w:r>
      <w:r>
        <w:t xml:space="preserve"> </w:t>
      </w:r>
      <w:r>
        <w:t xml:space="preserve">métier et le contexte data. Les chapitres 2 à 5 exposent les quatre missions de l’année dans</w:t>
      </w:r>
      <w:r>
        <w:t xml:space="preserve"> </w:t>
      </w:r>
      <w:r>
        <w:t xml:space="preserve">leur ordre d’apparition : la migration des opérations vers SPO, la reprise des tiers, les</w:t>
      </w:r>
      <w:r>
        <w:t xml:space="preserve"> </w:t>
      </w:r>
      <w:r>
        <w:t xml:space="preserve">missions de reporting et d’infrastructure menées en parallèle, puis le projet de Data</w:t>
      </w:r>
      <w:r>
        <w:t xml:space="preserve"> </w:t>
      </w:r>
      <w:r>
        <w:t xml:space="preserve">Science, le Copilote Financier. Le chapitre 6 relit ces missions transversalement, sous</w:t>
      </w:r>
      <w:r>
        <w:t xml:space="preserve"> </w:t>
      </w:r>
      <w:r>
        <w:t xml:space="preserve">l’angle de la conduite de projet, des technologies employées, de l’évaluation des résultats</w:t>
      </w:r>
      <w:r>
        <w:t xml:space="preserve"> </w:t>
      </w:r>
      <w:r>
        <w:t xml:space="preserve">et des difficultés rencontrées. Le chapitre 7 livre ma réflexion sur le métier de data</w:t>
      </w:r>
      <w:r>
        <w:t xml:space="preserve"> </w:t>
      </w:r>
      <w:r>
        <w:t xml:space="preserve">scientist tel que je l’ai pratiqué, et présente les perspectives et mon projet professionnel.</w:t>
      </w:r>
    </w:p>
    <w:bookmarkEnd w:id="23"/>
    <w:bookmarkStart w:id="40" w:name="X280a4735851f902e3be39ceaf7d0e57709cef27"/>
    <w:p>
      <w:pPr>
        <w:pStyle w:val="Heading1"/>
      </w:pPr>
      <w:r>
        <w:t xml:space="preserve">1 Contexte de l’alternance : un métier de cycles longs, un système d’information en mutation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1.1 Le groupe Angelotti et la nature de son activité</w:t>
      </w:r>
    </w:p>
    <w:p>
      <w:pPr>
        <w:numPr>
          <w:ilvl w:val="1"/>
          <w:numId w:val="1002"/>
        </w:numPr>
        <w:pStyle w:val="Compact"/>
      </w:pPr>
      <w:r>
        <w:t xml:space="preserve">1.1.1 Deux métiers, deux logiques économiques</w:t>
      </w:r>
    </w:p>
    <w:p>
      <w:pPr>
        <w:numPr>
          <w:ilvl w:val="1"/>
          <w:numId w:val="1002"/>
        </w:numPr>
        <w:pStyle w:val="Compact"/>
      </w:pPr>
      <w:r>
        <w:t xml:space="preserve">1.1.2 Le cycle long d’une opération et la dérive du budget</w:t>
      </w:r>
    </w:p>
    <w:p>
      <w:pPr>
        <w:numPr>
          <w:ilvl w:val="0"/>
          <w:numId w:val="1001"/>
        </w:numPr>
        <w:pStyle w:val="Compact"/>
      </w:pPr>
      <w:r>
        <w:t xml:space="preserve">1.2 Le système d’information et sa mutation</w:t>
      </w:r>
    </w:p>
    <w:p>
      <w:pPr>
        <w:numPr>
          <w:ilvl w:val="1"/>
          <w:numId w:val="1003"/>
        </w:numPr>
        <w:pStyle w:val="Compact"/>
      </w:pPr>
      <w:r>
        <w:t xml:space="preserve">1.2.1 Des outils spécialisés, mais cloisonnés</w:t>
      </w:r>
    </w:p>
    <w:p>
      <w:pPr>
        <w:numPr>
          <w:ilvl w:val="1"/>
          <w:numId w:val="1003"/>
        </w:numPr>
        <w:pStyle w:val="Compact"/>
      </w:pPr>
      <w:r>
        <w:t xml:space="preserve">1.2.2 Le remplacement de l’ERP : ce que le changement impose</w:t>
      </w:r>
    </w:p>
    <w:p>
      <w:pPr>
        <w:numPr>
          <w:ilvl w:val="0"/>
          <w:numId w:val="1001"/>
        </w:numPr>
        <w:pStyle w:val="Compact"/>
      </w:pPr>
      <w:r>
        <w:t xml:space="preserve">1.3 Le contexte data : ce dont je disposais, et ce qu’il fallait en faire</w:t>
      </w:r>
    </w:p>
    <w:p>
      <w:pPr>
        <w:numPr>
          <w:ilvl w:val="1"/>
          <w:numId w:val="1004"/>
        </w:numPr>
        <w:pStyle w:val="Compact"/>
      </w:pPr>
      <w:r>
        <w:t xml:space="preserve">1.3.1 Une donnée abondante mais non exploitable en l’état</w:t>
      </w:r>
    </w:p>
    <w:p>
      <w:pPr>
        <w:numPr>
          <w:ilvl w:val="1"/>
          <w:numId w:val="1004"/>
        </w:numPr>
        <w:pStyle w:val="Compact"/>
      </w:pPr>
      <w:r>
        <w:t xml:space="preserve">1.3.2 Mon positionnement entre les métiers et le système d’information</w:t>
      </w:r>
    </w:p>
    <w:p>
      <w:pPr>
        <w:numPr>
          <w:ilvl w:val="0"/>
          <w:numId w:val="1001"/>
        </w:numPr>
        <w:pStyle w:val="Compact"/>
      </w:pPr>
      <w:r>
        <w:t xml:space="preserve">1.4 Les quatre missions de l’année et leur enchaînement</w:t>
      </w:r>
    </w:p>
    <w:p>
      <w:pPr>
        <w:pStyle w:val="FirstParagraph"/>
      </w:pPr>
      <w:r>
        <w:t xml:space="preserve">Ce chapitre pose le décor des quatre missions que présente ce mémoire, dans deux dimensions</w:t>
      </w:r>
      <w:r>
        <w:t xml:space="preserve"> </w:t>
      </w:r>
      <w:r>
        <w:t xml:space="preserve">qu’il serait artificiel de séparer : le contexte métier, c’est-à-dire ce que fait le groupe</w:t>
      </w:r>
      <w:r>
        <w:t xml:space="preserve"> </w:t>
      </w:r>
      <w:r>
        <w:t xml:space="preserve">Angelotti et sous quelles contraintes économiques, et le contexte data, c’est-à-dire l’état</w:t>
      </w:r>
      <w:r>
        <w:t xml:space="preserve"> </w:t>
      </w:r>
      <w:r>
        <w:t xml:space="preserve">dans lequel se trouvait sa donnée. C’est leur rencontre qui explique la forme prise par mes</w:t>
      </w:r>
      <w:r>
        <w:t xml:space="preserve"> </w:t>
      </w:r>
      <w:r>
        <w:t xml:space="preserve">missions.</w:t>
      </w:r>
    </w:p>
    <w:bookmarkStart w:id="26" w:name="X2e63c2ba8675977ce8475e4ab5e4149da21d302"/>
    <w:p>
      <w:pPr>
        <w:pStyle w:val="Heading2"/>
      </w:pPr>
      <w:r>
        <w:t xml:space="preserve">1.1 Le groupe Angelotti et la nature de son activité</w:t>
      </w:r>
    </w:p>
    <w:bookmarkStart w:id="24" w:name="deux-métiers-deux-logiques-économiques"/>
    <w:p>
      <w:pPr>
        <w:pStyle w:val="Heading3"/>
      </w:pPr>
      <w:r>
        <w:t xml:space="preserve">1.1.1 Deux métiers, deux logiques économiques</w:t>
      </w:r>
    </w:p>
    <w:p>
      <w:pPr>
        <w:pStyle w:val="FirstParagraph"/>
      </w:pPr>
      <w:r>
        <w:t xml:space="preserve">Le groupe Angelotti conçoit, finance et commercialise des programmes immobiliers en Occitanie</w:t>
      </w:r>
      <w:r>
        <w:t xml:space="preserve"> </w:t>
      </w:r>
      <w:r>
        <w:t xml:space="preserve">et en région PACA. Son activité se répartit entre deux métiers qu’il faut distinguer, parce</w:t>
      </w:r>
      <w:r>
        <w:t xml:space="preserve"> </w:t>
      </w:r>
      <w:r>
        <w:t xml:space="preserve">que rien de ce qui suit ne se comprend si on les confond. L’</w:t>
      </w:r>
      <w:r>
        <w:rPr>
          <w:bCs/>
          <w:b/>
        </w:rPr>
        <w:t xml:space="preserve">aménagement foncier</w:t>
      </w:r>
      <w:r>
        <w:t xml:space="preserve"> </w:t>
      </w:r>
      <w:r>
        <w:t xml:space="preserve">consiste à</w:t>
      </w:r>
      <w:r>
        <w:t xml:space="preserve"> </w:t>
      </w:r>
      <w:r>
        <w:t xml:space="preserve">acquérir un terrain, à le viabiliser et à le découper en lots destinés à la construction : la</w:t>
      </w:r>
      <w:r>
        <w:t xml:space="preserve"> </w:t>
      </w:r>
      <w:r>
        <w:t xml:space="preserve">valeur y est créée par la transformation du foncier, et les postes dominants sont</w:t>
      </w:r>
      <w:r>
        <w:t xml:space="preserve"> </w:t>
      </w:r>
      <w:r>
        <w:t xml:space="preserve">l’acquisition et les travaux de voirie et réseaux. La</w:t>
      </w:r>
      <w:r>
        <w:t xml:space="preserve"> </w:t>
      </w:r>
      <w:r>
        <w:rPr>
          <w:bCs/>
          <w:b/>
        </w:rPr>
        <w:t xml:space="preserve">promotion immobilière</w:t>
      </w:r>
      <w:r>
        <w:t xml:space="preserve"> </w:t>
      </w:r>
      <w:r>
        <w:t xml:space="preserve">consiste à</w:t>
      </w:r>
      <w:r>
        <w:t xml:space="preserve"> </w:t>
      </w:r>
      <w:r>
        <w:t xml:space="preserve">concevoir, financer, construire et commercialiser des logements neufs : la valeur y est créée</w:t>
      </w:r>
      <w:r>
        <w:t xml:space="preserve"> </w:t>
      </w:r>
      <w:r>
        <w:t xml:space="preserve">par la construction, poste qui pèse le plus lourd dans le budget.</w:t>
      </w:r>
    </w:p>
    <w:p>
      <w:pPr>
        <w:pStyle w:val="BodyText"/>
      </w:pPr>
      <w:r>
        <w:t xml:space="preserve">Cette distinction produit deux structures de coûts et deux rythmes de commercialisation</w:t>
      </w:r>
      <w:r>
        <w:t xml:space="preserve"> </w:t>
      </w:r>
      <w:r>
        <w:t xml:space="preserve">différents, donc deux façons de suivre une opération. Nous verrons au chapitre 5 que la</w:t>
      </w:r>
      <w:r>
        <w:t xml:space="preserve"> </w:t>
      </w:r>
      <w:r>
        <w:t xml:space="preserve">frontière ressort d’elle-même de l’analyse exploratoire, et qu’elle a justifié de restreindre</w:t>
      </w:r>
      <w:r>
        <w:t xml:space="preserve"> </w:t>
      </w:r>
      <w:r>
        <w:t xml:space="preserve">le périmètre de l’outil d’aide à la décision à la seule promotion. Chaque opération, dans les</w:t>
      </w:r>
      <w:r>
        <w:t xml:space="preserve"> </w:t>
      </w:r>
      <w:r>
        <w:t xml:space="preserve">deux métiers, est par ailleurs portée par une société dédiée : le suivi financier est donc</w:t>
      </w:r>
      <w:r>
        <w:t xml:space="preserve"> </w:t>
      </w:r>
      <w:r>
        <w:t xml:space="preserve">nativement cloisonné par opération, et toute vision transverse doit être reconstruite.</w:t>
      </w:r>
    </w:p>
    <w:bookmarkEnd w:id="24"/>
    <w:bookmarkStart w:id="25" w:name="X5344913ad845ef16b69fe456f12d411b9e96844"/>
    <w:p>
      <w:pPr>
        <w:pStyle w:val="Heading3"/>
      </w:pPr>
      <w:r>
        <w:t xml:space="preserve">1.1.2 Le cycle long d’une opération et la dérive du budget</w:t>
      </w:r>
    </w:p>
    <w:p>
      <w:pPr>
        <w:pStyle w:val="FirstParagraph"/>
      </w:pPr>
      <w:r>
        <w:t xml:space="preserve">Une opération immobilière vit sur un cycle qui se compte en années. Un budget est arrêté au</w:t>
      </w:r>
      <w:r>
        <w:t xml:space="preserve"> </w:t>
      </w:r>
      <w:r>
        <w:t xml:space="preserve">moment de l’engagement, puis le chantier et la commercialisation le font dériver : les appels</w:t>
      </w:r>
      <w:r>
        <w:t xml:space="preserve"> </w:t>
      </w:r>
      <w:r>
        <w:t xml:space="preserve">d’offres reviennent plus chers qu’anticipé, des acquéreurs se désistent, le rythme de vente</w:t>
      </w:r>
      <w:r>
        <w:t xml:space="preserve"> </w:t>
      </w:r>
      <w:r>
        <w:t xml:space="preserve">ralentit sous l’effet de la conjoncture. Cette dérive n’est pas une anomalie, c’est le</w:t>
      </w:r>
      <w:r>
        <w:t xml:space="preserve"> </w:t>
      </w:r>
      <w:r>
        <w:t xml:space="preserve">fonctionnement normal du métier. Ce qui pose problème, c’est de la mesurer à temps : entre le</w:t>
      </w:r>
      <w:r>
        <w:t xml:space="preserve"> </w:t>
      </w:r>
      <w:r>
        <w:t xml:space="preserve">moment où un poste commence à déraper et celui où l’écart devient visible dans les comptes,</w:t>
      </w:r>
      <w:r>
        <w:t xml:space="preserve"> </w:t>
      </w:r>
      <w:r>
        <w:t xml:space="preserve">il peut s’écouler plusieurs mois, et sur une marge de quelques centaines de milliers d’euros,</w:t>
      </w:r>
      <w:r>
        <w:t xml:space="preserve"> </w:t>
      </w:r>
      <w:r>
        <w:t xml:space="preserve">ce délai suffit à transformer un ajustement en perte.</w:t>
      </w:r>
    </w:p>
    <w:p>
      <w:pPr>
        <w:pStyle w:val="BodyText"/>
      </w:pPr>
      <w:r>
        <w:t xml:space="preserve">Ce cycle long explique aussi pourquoi la reprise de l’historique était un enjeu de la</w:t>
      </w:r>
      <w:r>
        <w:t xml:space="preserve"> </w:t>
      </w:r>
      <w:r>
        <w:t xml:space="preserve">migration. Une opération engagée il y a trois ans et non livrée n’est pas une donnée</w:t>
      </w:r>
      <w:r>
        <w:t xml:space="preserve"> </w:t>
      </w:r>
      <w:r>
        <w:t xml:space="preserve">d’archive, c’est un dossier vivant : elle continue de générer des factures, des appels de</w:t>
      </w:r>
      <w:r>
        <w:t xml:space="preserve"> </w:t>
      </w:r>
      <w:r>
        <w:t xml:space="preserve">fonds et des actes de vente. Basculer d’un système à l’autre sans emporter cet historique</w:t>
      </w:r>
      <w:r>
        <w:t xml:space="preserve"> </w:t>
      </w:r>
      <w:r>
        <w:t xml:space="preserve">aurait interrompu la gestion en cours.</w:t>
      </w:r>
    </w:p>
    <w:bookmarkEnd w:id="25"/>
    <w:bookmarkEnd w:id="26"/>
    <w:bookmarkStart w:id="32" w:name="le-système-dinformation-et-sa-mutation"/>
    <w:p>
      <w:pPr>
        <w:pStyle w:val="Heading2"/>
      </w:pPr>
      <w:r>
        <w:t xml:space="preserve">1.2 Le système d’information et sa mutation</w:t>
      </w:r>
    </w:p>
    <w:bookmarkStart w:id="30" w:name="des-outils-spécialisés-mais-cloisonnés"/>
    <w:p>
      <w:pPr>
        <w:pStyle w:val="Heading3"/>
      </w:pPr>
      <w:r>
        <w:t xml:space="preserve">1.2.1 Des outils spécialisés, mais cloisonnés</w:t>
      </w:r>
    </w:p>
    <w:p>
      <w:pPr>
        <w:pStyle w:val="FirstParagraph"/>
      </w:pPr>
      <w:r>
        <w:t xml:space="preserve">À mon arrivée en deuxième année, le système d’information reposait sur trois outils</w:t>
      </w:r>
      <w:r>
        <w:t xml:space="preserve"> </w:t>
      </w:r>
      <w:r>
        <w:t xml:space="preserve">principaux et sur une quatrième couche moins visible mais tout aussi structurante :</w:t>
      </w:r>
      <w:r>
        <w:t xml:space="preserve"> </w:t>
      </w:r>
      <w:r>
        <w:rPr>
          <w:bCs/>
          <w:b/>
        </w:rPr>
        <w:t xml:space="preserve">Grimmo</w:t>
      </w:r>
      <w:r>
        <w:t xml:space="preserve">, l’ERP métier historique, portait la gestion des opérations ;</w:t>
      </w:r>
      <w:r>
        <w:t xml:space="preserve"> </w:t>
      </w:r>
      <w:r>
        <w:rPr>
          <w:bCs/>
          <w:b/>
        </w:rPr>
        <w:t xml:space="preserve">Vadimm</w:t>
      </w:r>
      <w:r>
        <w:t xml:space="preserve">, le CRM,</w:t>
      </w:r>
      <w:r>
        <w:t xml:space="preserve"> </w:t>
      </w:r>
      <w:r>
        <w:t xml:space="preserve">portait la relation commerciale, acquéreurs, réservations, désistements et coordonnées ;</w:t>
      </w:r>
      <w:r>
        <w:t xml:space="preserve"> </w:t>
      </w:r>
      <w:r>
        <w:rPr>
          <w:bCs/>
          <w:b/>
        </w:rPr>
        <w:t xml:space="preserve">MyReport</w:t>
      </w:r>
      <w:r>
        <w:t xml:space="preserve">, l’outil décisionnel, requêtait les bases sources et produisait les tableaux de</w:t>
      </w:r>
      <w:r>
        <w:t xml:space="preserve"> </w:t>
      </w:r>
      <w:r>
        <w:t xml:space="preserve">bord ; et</w:t>
      </w:r>
      <w:r>
        <w:t xml:space="preserve"> </w:t>
      </w:r>
      <w:r>
        <w:rPr>
          <w:bCs/>
          <w:b/>
        </w:rPr>
        <w:t xml:space="preserve">les tableurs</w:t>
      </w:r>
      <w:r>
        <w:t xml:space="preserve">, enfin, faisaient le lien partout où les trois premiers ne se</w:t>
      </w:r>
      <w:r>
        <w:t xml:space="preserve"> </w:t>
      </w:r>
      <w:r>
        <w:t xml:space="preserve">parlaient pas, la direction financière y suivant ses dérives budgétaires opération par</w:t>
      </w:r>
      <w:r>
        <w:t xml:space="preserve"> </w:t>
      </w:r>
      <w:r>
        <w:t xml:space="preserve">opération, sans vision transverse.</w:t>
      </w:r>
    </w:p>
    <w:p>
      <w:pPr>
        <w:pStyle w:val="BodyText"/>
      </w:pPr>
      <w:r>
        <w:t xml:space="preserve">La Figure 1.1 représente cette organisation et situe l’endroit où mes missions sont</w:t>
      </w:r>
      <w:r>
        <w:t xml:space="preserve"> </w:t>
      </w:r>
      <w:r>
        <w:t xml:space="preserve">intervenues. Les trois outils et leurs usages métier occupent le haut du schéma, reliés par</w:t>
      </w:r>
      <w:r>
        <w:t xml:space="preserve"> </w:t>
      </w:r>
      <w:r>
        <w:t xml:space="preserve">les flèches qui figurent la circulation normale de la donnée ; les tableurs forment la bande</w:t>
      </w:r>
      <w:r>
        <w:t xml:space="preserve"> </w:t>
      </w:r>
      <w:r>
        <w:t xml:space="preserve">du bas, et les traits pointillés qui les rattachent à chacun d’eux marquent les échanges qui</w:t>
      </w:r>
      <w:r>
        <w:t xml:space="preserve"> </w:t>
      </w:r>
      <w:r>
        <w:t xml:space="preserve">ne passent par aucun système. On y lit le problème central : la donnée existait, en quantité,</w:t>
      </w:r>
      <w:r>
        <w:t xml:space="preserve"> </w:t>
      </w:r>
      <w:r>
        <w:t xml:space="preserve">mais répartie entre des outils qui ne partageaient ni les mêmes identifiants ni les mêmes</w:t>
      </w:r>
      <w:r>
        <w:t xml:space="preserve"> </w:t>
      </w:r>
      <w:r>
        <w:t xml:space="preserve">définitions. Le même client pouvait exister dans le CRM et dans l’ERP sans qu’aucun lien ne</w:t>
      </w:r>
      <w:r>
        <w:t xml:space="preserve"> </w:t>
      </w:r>
      <w:r>
        <w:t xml:space="preserve">les rattache ; la même notion de marge pouvait être calculée différemment selon l’outil qui</w:t>
      </w:r>
      <w:r>
        <w:t xml:space="preserve"> </w:t>
      </w:r>
      <w:r>
        <w:t xml:space="preserve">l’interrogeait.</w:t>
      </w:r>
    </w:p>
    <w:p>
      <w:pPr>
        <w:pStyle w:val="CaptionedFigure"/>
      </w:pPr>
      <w:r>
        <w:drawing>
          <wp:inline>
            <wp:extent cx="5334000" cy="3243684"/>
            <wp:effectExtent b="0" l="0" r="0" t="0"/>
            <wp:docPr descr="Les outils du système d’information et la circulation de la donnée" title="" id="28" name="Picture"/>
            <a:graphic>
              <a:graphicData uri="http://schemas.openxmlformats.org/drawingml/2006/picture">
                <pic:pic>
                  <pic:nvPicPr>
                    <pic:cNvPr descr="figures/fig_1_1_systeme_inform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– Les outils du système d’information et la circulation de la donnée</w:t>
      </w:r>
    </w:p>
    <w:bookmarkEnd w:id="30"/>
    <w:bookmarkStart w:id="31" w:name="Xb3b782b399c0c2e2f5572da91c701ce3b017541"/>
    <w:p>
      <w:pPr>
        <w:pStyle w:val="Heading3"/>
      </w:pPr>
      <w:r>
        <w:t xml:space="preserve">1.2.2 Le remplacement de l’ERP : ce que le changement impose</w:t>
      </w:r>
    </w:p>
    <w:p>
      <w:pPr>
        <w:pStyle w:val="FirstParagraph"/>
      </w:pPr>
      <w:r>
        <w:t xml:space="preserve">La décision de remplacer Grimmo par SPO, l’ERP édité par Salvia, a été prise à l’échelle de</w:t>
      </w:r>
      <w:r>
        <w:t xml:space="preserve"> </w:t>
      </w:r>
      <w:r>
        <w:t xml:space="preserve">la direction et a commandé le calendrier de toute l’année. Un changement d’ERP n’est pas un</w:t>
      </w:r>
      <w:r>
        <w:t xml:space="preserve"> </w:t>
      </w:r>
      <w:r>
        <w:t xml:space="preserve">changement d’outil, c’est un changement de modèle de données : les objets ne portent plus les</w:t>
      </w:r>
      <w:r>
        <w:t xml:space="preserve"> </w:t>
      </w:r>
      <w:r>
        <w:t xml:space="preserve">mêmes noms, ne s’articulent plus de la même façon et n’acceptent plus les mêmes valeurs.</w:t>
      </w:r>
    </w:p>
    <w:p>
      <w:pPr>
        <w:pStyle w:val="BodyText"/>
      </w:pPr>
      <w:r>
        <w:t xml:space="preserve">Trois contraintes en découlaient. Une contrainte de</w:t>
      </w:r>
      <w:r>
        <w:t xml:space="preserve"> </w:t>
      </w:r>
      <w:r>
        <w:rPr>
          <w:bCs/>
          <w:b/>
        </w:rPr>
        <w:t xml:space="preserve">volumétrie</w:t>
      </w:r>
      <w:r>
        <w:t xml:space="preserve"> </w:t>
      </w:r>
      <w:r>
        <w:t xml:space="preserve">d’abord : 283 opérations</w:t>
      </w:r>
      <w:r>
        <w:t xml:space="preserve"> </w:t>
      </w:r>
      <w:r>
        <w:t xml:space="preserve">devaient être reprises avec leurs subdivisions et leurs budgets, échelle à laquelle une</w:t>
      </w:r>
      <w:r>
        <w:t xml:space="preserve"> </w:t>
      </w:r>
      <w:r>
        <w:t xml:space="preserve">saisie manuelle intégrale était exclue. Une contrainte de</w:t>
      </w:r>
      <w:r>
        <w:t xml:space="preserve"> </w:t>
      </w:r>
      <w:r>
        <w:rPr>
          <w:bCs/>
          <w:b/>
        </w:rPr>
        <w:t xml:space="preserve">continuité de service</w:t>
      </w:r>
      <w:r>
        <w:t xml:space="preserve"> </w:t>
      </w:r>
      <w:r>
        <w:t xml:space="preserve">ensuite :</w:t>
      </w:r>
      <w:r>
        <w:t xml:space="preserve"> </w:t>
      </w:r>
      <w:r>
        <w:t xml:space="preserve">les utilisateurs devaient pouvoir facturer dès le basculement, une interruption de deux</w:t>
      </w:r>
      <w:r>
        <w:t xml:space="preserve"> </w:t>
      </w:r>
      <w:r>
        <w:t xml:space="preserve">semaines étant déjà inacceptable. Une contrainte de</w:t>
      </w:r>
      <w:r>
        <w:t xml:space="preserve"> </w:t>
      </w:r>
      <w:r>
        <w:rPr>
          <w:bCs/>
          <w:b/>
        </w:rPr>
        <w:t xml:space="preserve">conformité au modèle cible</w:t>
      </w:r>
      <w:r>
        <w:t xml:space="preserve"> </w:t>
      </w:r>
      <w:r>
        <w:t xml:space="preserve">enfin : SPO</w:t>
      </w:r>
      <w:r>
        <w:t xml:space="preserve"> </w:t>
      </w:r>
      <w:r>
        <w:t xml:space="preserve">impose ses propres règles d’intégrité, qui n’étaient pas toutes documentées et qu’il a fallu</w:t>
      </w:r>
      <w:r>
        <w:t xml:space="preserve"> </w:t>
      </w:r>
      <w:r>
        <w:t xml:space="preserve">découvrir en les heurtant, ce que le chapitre 2 détaille.</w:t>
      </w:r>
    </w:p>
    <w:p>
      <w:pPr>
        <w:pStyle w:val="BodyText"/>
      </w:pPr>
      <w:r>
        <w:t xml:space="preserve">S’y ajoute une perspective absente du calendrier initial : le passage prochain vers</w:t>
      </w:r>
      <w:r>
        <w:t xml:space="preserve"> </w:t>
      </w:r>
      <w:r>
        <w:t xml:space="preserve">l’infrastructure technique du groupe Nexity, qui engendrera des missions d’adaptation et qui</w:t>
      </w:r>
      <w:r>
        <w:t xml:space="preserve"> </w:t>
      </w:r>
      <w:r>
        <w:t xml:space="preserve">a influé sur certains choix techniques, notamment lorsqu’il a fallu évaluer si l’architecture</w:t>
      </w:r>
      <w:r>
        <w:t xml:space="preserve"> </w:t>
      </w:r>
      <w:r>
        <w:t xml:space="preserve">retenue pour le projet de Data Science tiendrait à une échelle supérieure.</w:t>
      </w:r>
    </w:p>
    <w:bookmarkEnd w:id="31"/>
    <w:bookmarkEnd w:id="32"/>
    <w:bookmarkStart w:id="35" w:name="X184bcd2bd10a7fb3ddcb7af67d1d63be6409cd8"/>
    <w:p>
      <w:pPr>
        <w:pStyle w:val="Heading2"/>
      </w:pPr>
      <w:r>
        <w:t xml:space="preserve">1.3 Le contexte data : ce dont je disposais, et ce qu’il fallait en faire</w:t>
      </w:r>
    </w:p>
    <w:bookmarkStart w:id="33" w:name="Xf5db3a04303f1bb4c587f1ccdd12910d1ed0c8a"/>
    <w:p>
      <w:pPr>
        <w:pStyle w:val="Heading3"/>
      </w:pPr>
      <w:r>
        <w:t xml:space="preserve">1.3.1 Une donnée abondante mais non exploitable en l’état</w:t>
      </w:r>
    </w:p>
    <w:p>
      <w:pPr>
        <w:pStyle w:val="FirstParagraph"/>
      </w:pPr>
      <w:r>
        <w:t xml:space="preserve">Le contexte data science de mes missions se résume à un paradoxe que j’ai mis plusieurs mois</w:t>
      </w:r>
      <w:r>
        <w:t xml:space="preserve"> </w:t>
      </w:r>
      <w:r>
        <w:t xml:space="preserve">à formuler : l’entreprise ne manquait pas de données. Elle disposait de l’historique complet</w:t>
      </w:r>
      <w:r>
        <w:t xml:space="preserve"> </w:t>
      </w:r>
      <w:r>
        <w:t xml:space="preserve">de ses opérations, ventes, désistements et budgets sur plusieurs années. Ce qui manquait,</w:t>
      </w:r>
      <w:r>
        <w:t xml:space="preserve"> </w:t>
      </w:r>
      <w:r>
        <w:t xml:space="preserve">c’était la possibilité de s’en servir, et trois obstacles se cumulaient.</w:t>
      </w:r>
    </w:p>
    <w:p>
      <w:pPr>
        <w:pStyle w:val="BodyText"/>
      </w:pPr>
      <w:r>
        <w:t xml:space="preserve">Le premier est l’</w:t>
      </w:r>
      <w:r>
        <w:rPr>
          <w:bCs/>
          <w:b/>
        </w:rPr>
        <w:t xml:space="preserve">absence d’identifiant partagé</w:t>
      </w:r>
      <w:r>
        <w:t xml:space="preserve"> </w:t>
      </w:r>
      <w:r>
        <w:t xml:space="preserve">: un acquéreur du CRM et un tiers de l’ERP</w:t>
      </w:r>
      <w:r>
        <w:t xml:space="preserve"> </w:t>
      </w:r>
      <w:r>
        <w:t xml:space="preserve">ne se reconnaissent pas, et les rapprocher suppose de reconstruire une clé d’identité, qui</w:t>
      </w:r>
      <w:r>
        <w:t xml:space="preserve"> </w:t>
      </w:r>
      <w:r>
        <w:t xml:space="preserve">est précisément le sujet du chapitre 3. Le deuxième est l’</w:t>
      </w:r>
      <w:r>
        <w:rPr>
          <w:bCs/>
          <w:b/>
        </w:rPr>
        <w:t xml:space="preserve">absence de définition partagée</w:t>
      </w:r>
      <w:r>
        <w:t xml:space="preserve"> </w:t>
      </w:r>
      <w:r>
        <w:t xml:space="preserve">:</w:t>
      </w:r>
      <w:r>
        <w:t xml:space="preserve"> </w:t>
      </w:r>
      <w:r>
        <w:t xml:space="preserve">la marge d’une opération peut se calculer sur le budget, sur l’engagé ou sur le facturé, et</w:t>
      </w:r>
      <w:r>
        <w:t xml:space="preserve"> </w:t>
      </w:r>
      <w:r>
        <w:t xml:space="preserve">tant que la définition n’est écrite nulle part, chaque tableau de bord porte implicitement la</w:t>
      </w:r>
      <w:r>
        <w:t xml:space="preserve"> </w:t>
      </w:r>
      <w:r>
        <w:t xml:space="preserve">sienne, deux services pouvant afficher deux chiffres différents sans que ni l’un ni l’autre</w:t>
      </w:r>
      <w:r>
        <w:t xml:space="preserve"> </w:t>
      </w:r>
      <w:r>
        <w:t xml:space="preserve">ait tort. Le troisième est l’</w:t>
      </w:r>
      <w:r>
        <w:rPr>
          <w:bCs/>
          <w:b/>
        </w:rPr>
        <w:t xml:space="preserve">absence de profondeur temporelle</w:t>
      </w:r>
      <w:r>
        <w:t xml:space="preserve"> </w:t>
      </w:r>
      <w:r>
        <w:t xml:space="preserve">: les exports du système de</w:t>
      </w:r>
      <w:r>
        <w:t xml:space="preserve"> </w:t>
      </w:r>
      <w:r>
        <w:t xml:space="preserve">gestion disent où en est un budget aujourd’hui, pas comment il y est arrivé. Cette limite,</w:t>
      </w:r>
      <w:r>
        <w:t xml:space="preserve"> </w:t>
      </w:r>
      <w:r>
        <w:t xml:space="preserve">que je n’ai pleinement mesurée qu’au moment de modéliser, plafonne l’un des trois axes du</w:t>
      </w:r>
      <w:r>
        <w:t xml:space="preserve"> </w:t>
      </w:r>
      <w:r>
        <w:t xml:space="preserve">projet de Data Science.</w:t>
      </w:r>
    </w:p>
    <w:p>
      <w:pPr>
        <w:pStyle w:val="BodyText"/>
      </w:pPr>
      <w:r>
        <w:t xml:space="preserve">Ces trois obstacles ont un point commun : aucun ne relève de la modélisation. Ce sont des</w:t>
      </w:r>
      <w:r>
        <w:t xml:space="preserve"> </w:t>
      </w:r>
      <w:r>
        <w:t xml:space="preserve">problèmes de structure, et ils se règlent avant tout modèle. C’est le constat qui fonde la</w:t>
      </w:r>
      <w:r>
        <w:t xml:space="preserve"> </w:t>
      </w:r>
      <w:r>
        <w:t xml:space="preserve">thèse de ce mémoire.</w:t>
      </w:r>
    </w:p>
    <w:bookmarkEnd w:id="33"/>
    <w:bookmarkStart w:id="34" w:name="X057fa4cca1078995c1a069c795445ca966651ed"/>
    <w:p>
      <w:pPr>
        <w:pStyle w:val="Heading3"/>
      </w:pPr>
      <w:r>
        <w:t xml:space="preserve">1.3.2 Mon positionnement entre les métiers et le système d’information</w:t>
      </w:r>
    </w:p>
    <w:p>
      <w:pPr>
        <w:pStyle w:val="FirstParagraph"/>
      </w:pPr>
      <w:r>
        <w:t xml:space="preserve">Rattachée à la Holding SPA, j’ai travaillé au contact direct des services métiers — direction</w:t>
      </w:r>
      <w:r>
        <w:t xml:space="preserve"> </w:t>
      </w:r>
      <w:r>
        <w:t xml:space="preserve">financière, service juridique, équipes commerciales — tout en intervenant sur les outils du</w:t>
      </w:r>
      <w:r>
        <w:t xml:space="preserve"> </w:t>
      </w:r>
      <w:r>
        <w:t xml:space="preserve">système d’information. Cette position intermédiaire a une conséquence pratique constante : la</w:t>
      </w:r>
      <w:r>
        <w:t xml:space="preserve"> </w:t>
      </w:r>
      <w:r>
        <w:t xml:space="preserve">formulation du besoin fait partie du travail. Un service ne demande presque jamais un</w:t>
      </w:r>
      <w:r>
        <w:t xml:space="preserve"> </w:t>
      </w:r>
      <w:r>
        <w:t xml:space="preserve">livrable technique ; il décrit une gêne, un tableau qu’il refait à la main chaque mois, une</w:t>
      </w:r>
      <w:r>
        <w:t xml:space="preserve"> </w:t>
      </w:r>
      <w:r>
        <w:t xml:space="preserve">question à laquelle il ne sait pas répondre. Traduire cette gêne en spécification, puis</w:t>
      </w:r>
      <w:r>
        <w:t xml:space="preserve"> </w:t>
      </w:r>
      <w:r>
        <w:t xml:space="preserve">vérifier que la traduction était fidèle, occupe une part du temps que je n’avais pas</w:t>
      </w:r>
      <w:r>
        <w:t xml:space="preserve"> </w:t>
      </w:r>
      <w:r>
        <w:t xml:space="preserve">anticipée.</w:t>
      </w:r>
    </w:p>
    <w:p>
      <w:pPr>
        <w:pStyle w:val="BodyText"/>
      </w:pPr>
      <w:r>
        <w:t xml:space="preserve">C’est aussi cette position qui explique que mes missions ne se rangent pas toutes sous</w:t>
      </w:r>
      <w:r>
        <w:t xml:space="preserve"> </w:t>
      </w:r>
      <w:r>
        <w:t xml:space="preserve">l’étiquette de la data science : le chapitre 4 présente ainsi une contribution au déploiement</w:t>
      </w:r>
      <w:r>
        <w:t xml:space="preserve"> </w:t>
      </w:r>
      <w:r>
        <w:t xml:space="preserve">du Single Sign-On, qui relève de l’administration système et qui m’a donné une vision de</w:t>
      </w:r>
      <w:r>
        <w:t xml:space="preserve"> </w:t>
      </w:r>
      <w:r>
        <w:t xml:space="preserve">l’architecture du système d’information que je n’aurais pas acquise autrement.</w:t>
      </w:r>
    </w:p>
    <w:bookmarkEnd w:id="34"/>
    <w:bookmarkEnd w:id="35"/>
    <w:bookmarkStart w:id="39" w:name="X7249a5eb24713de701ddec15277aee409598513"/>
    <w:p>
      <w:pPr>
        <w:pStyle w:val="Heading2"/>
      </w:pPr>
      <w:r>
        <w:t xml:space="preserve">1.4 Les quatre missions de l’année et leur enchaînement</w:t>
      </w:r>
    </w:p>
    <w:p>
      <w:pPr>
        <w:pStyle w:val="FirstParagraph"/>
      </w:pPr>
      <w:r>
        <w:t xml:space="preserve">L’année s’organise en quatre missions réparties sur deux semestres, que présente la</w:t>
      </w:r>
      <w:r>
        <w:t xml:space="preserve"> </w:t>
      </w:r>
      <w:r>
        <w:t xml:space="preserve">Figure 1.2. Leur enchaînement n’a rien d’arbitraire, chacune conditionnant la suivante.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 migration des données opérationnelles vers SPO</w:t>
      </w:r>
      <w:r>
        <w:t xml:space="preserve"> </w:t>
      </w:r>
      <w:r>
        <w:t xml:space="preserve">(premier semestre, chapitre 2) a</w:t>
      </w:r>
      <w:r>
        <w:t xml:space="preserve"> </w:t>
      </w:r>
      <w:r>
        <w:t xml:space="preserve">repris les 283 opérations et leurs tranches depuis la base historique, les budgets</w:t>
      </w:r>
      <w:r>
        <w:t xml:space="preserve"> </w:t>
      </w:r>
      <w:r>
        <w:t xml:space="preserve">détaillés étant reportés à un second temps. C’est le socle : sans les opérations, rien</w:t>
      </w:r>
      <w:r>
        <w:t xml:space="preserve"> </w:t>
      </w:r>
      <w:r>
        <w:t xml:space="preserve">d’autre ne peut exister dans le nouvel ERP.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 reprise des tiers</w:t>
      </w:r>
      <w:r>
        <w:t xml:space="preserve"> </w:t>
      </w:r>
      <w:r>
        <w:t xml:space="preserve">(second semestre, chapitre 3) a complété ce socle par le volet</w:t>
      </w:r>
      <w:r>
        <w:t xml:space="preserve"> </w:t>
      </w:r>
      <w:r>
        <w:t xml:space="preserve">commercial, en créant dans SPO les 1 434 clients acquéreurs du groupe.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 maintien du système décisionnel et les missions SI transverses</w:t>
      </w:r>
      <w:r>
        <w:t xml:space="preserve"> </w:t>
      </w:r>
      <w:r>
        <w:t xml:space="preserve">(les deux semestres,</w:t>
      </w:r>
      <w:r>
        <w:t xml:space="preserve"> </w:t>
      </w:r>
      <w:r>
        <w:t xml:space="preserve">chapitre 4) ont couru sur toute l’année, pour que les services continuent de disposer de</w:t>
      </w:r>
      <w:r>
        <w:t xml:space="preserve"> </w:t>
      </w:r>
      <w:r>
        <w:t xml:space="preserve">leurs indicateurs pendant que le socle se reconstruisait.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 Copilote Financier</w:t>
      </w:r>
      <w:r>
        <w:t xml:space="preserve"> </w:t>
      </w:r>
      <w:r>
        <w:t xml:space="preserve">(second semestre, chapitre 5) a exploité ce socle une fois</w:t>
      </w:r>
      <w:r>
        <w:t xml:space="preserve"> </w:t>
      </w:r>
      <w:r>
        <w:t xml:space="preserve">stabilisé, en construisant un outil d’aide à la décision pour la direction financière.</w:t>
      </w:r>
    </w:p>
    <w:p>
      <w:pPr>
        <w:pStyle w:val="CaptionedFigure"/>
      </w:pPr>
      <w:r>
        <w:drawing>
          <wp:inline>
            <wp:extent cx="5334000" cy="1746791"/>
            <wp:effectExtent b="0" l="0" r="0" t="0"/>
            <wp:docPr descr="Les quatre missions de l’année et leur répartition sur les deux semestres" title="" id="37" name="Picture"/>
            <a:graphic>
              <a:graphicData uri="http://schemas.openxmlformats.org/drawingml/2006/picture">
                <pic:pic>
                  <pic:nvPicPr>
                    <pic:cNvPr descr="figures/fig_1_2_frise_mission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6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– Les quatre missions de l’année et leur répartition sur les deux semestres</w:t>
      </w:r>
    </w:p>
    <w:p>
      <w:pPr>
        <w:pStyle w:val="BodyText"/>
      </w:pPr>
      <w:r>
        <w:t xml:space="preserve">Cette progression dessine un mouvement que je n’avais pas prévu, et qui est l’histoire de ce</w:t>
      </w:r>
      <w:r>
        <w:t xml:space="preserve"> </w:t>
      </w:r>
      <w:r>
        <w:t xml:space="preserve">mémoire : partie d’un projet de modélisation, j’ai passé la majeure partie de l’année à</w:t>
      </w:r>
      <w:r>
        <w:t xml:space="preserve"> </w:t>
      </w:r>
      <w:r>
        <w:t xml:space="preserve">construire ce qui rendait cette modélisation possible, avant d’y revenir. Le détour n’était</w:t>
      </w:r>
      <w:r>
        <w:t xml:space="preserve"> </w:t>
      </w:r>
      <w:r>
        <w:t xml:space="preserve">pas une perte de temps, c’était le travail.</w:t>
      </w:r>
    </w:p>
    <w:p>
      <w:pPr>
        <w:pStyle w:val="BodyText"/>
      </w:pPr>
      <w:r>
        <w:t xml:space="preserve">Ces missions ne se comprennent donc pas comme une liste de tâches, mais comme la réponse à</w:t>
      </w:r>
      <w:r>
        <w:t xml:space="preserve"> </w:t>
      </w:r>
      <w:r>
        <w:t xml:space="preserve">une situation : des cycles longs, un système d’information qui changeait de socle, et une</w:t>
      </w:r>
      <w:r>
        <w:t xml:space="preserve"> </w:t>
      </w:r>
      <w:r>
        <w:t xml:space="preserve">donnée abondante sans être exploitable. Le chapitre suivant entre dans le premier de ces</w:t>
      </w:r>
      <w:r>
        <w:t xml:space="preserve"> </w:t>
      </w:r>
      <w:r>
        <w:t xml:space="preserve">chantiers, la migration vers SPO, où le problème n’était pas de transférer des données mais</w:t>
      </w:r>
      <w:r>
        <w:t xml:space="preserve"> </w:t>
      </w:r>
      <w:r>
        <w:t xml:space="preserve">de rétro-concevoir les règles d’un modèle que personne ne connaissait encore.</w:t>
      </w:r>
    </w:p>
    <w:bookmarkEnd w:id="39"/>
    <w:bookmarkEnd w:id="40"/>
    <w:bookmarkStart w:id="64" w:name="X0dfaa1bf34443021cb6f032c90ab361c36761c0"/>
    <w:p>
      <w:pPr>
        <w:pStyle w:val="Heading1"/>
      </w:pPr>
      <w:r>
        <w:t xml:space="preserve">2 La migration vers SPO : enjeux d’industrialisation et défis techniques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6"/>
        </w:numPr>
        <w:pStyle w:val="Compact"/>
      </w:pPr>
      <w:r>
        <w:t xml:space="preserve">2.1 Stratégie de reprise et méthodologie de travail</w:t>
      </w:r>
    </w:p>
    <w:p>
      <w:pPr>
        <w:numPr>
          <w:ilvl w:val="1"/>
          <w:numId w:val="1007"/>
        </w:numPr>
        <w:pStyle w:val="Compact"/>
      </w:pPr>
      <w:r>
        <w:t xml:space="preserve">2.1.1 Un arbitrage initial : automatiser ou saisir</w:t>
      </w:r>
    </w:p>
    <w:p>
      <w:pPr>
        <w:numPr>
          <w:ilvl w:val="1"/>
          <w:numId w:val="1007"/>
        </w:numPr>
        <w:pStyle w:val="Compact"/>
      </w:pPr>
      <w:r>
        <w:t xml:space="preserve">2.1.2 Phase préparatoire : appropriation technique et tests unitaires</w:t>
      </w:r>
    </w:p>
    <w:p>
      <w:pPr>
        <w:numPr>
          <w:ilvl w:val="1"/>
          <w:numId w:val="1007"/>
        </w:numPr>
        <w:pStyle w:val="Compact"/>
      </w:pPr>
      <w:r>
        <w:t xml:space="preserve">2.1.3 Industrialisation des flux via DirectAPI</w:t>
      </w:r>
    </w:p>
    <w:p>
      <w:pPr>
        <w:numPr>
          <w:ilvl w:val="0"/>
          <w:numId w:val="1006"/>
        </w:numPr>
        <w:pStyle w:val="Compact"/>
      </w:pPr>
      <w:r>
        <w:t xml:space="preserve">2.2 Les défis techniques majeurs : dépendances et identifiants</w:t>
      </w:r>
    </w:p>
    <w:p>
      <w:pPr>
        <w:numPr>
          <w:ilvl w:val="1"/>
          <w:numId w:val="1008"/>
        </w:numPr>
        <w:pStyle w:val="Compact"/>
      </w:pPr>
      <w:r>
        <w:t xml:space="preserve">2.2.1 La gestion des dépendances hiérarchiques</w:t>
      </w:r>
    </w:p>
    <w:p>
      <w:pPr>
        <w:numPr>
          <w:ilvl w:val="1"/>
          <w:numId w:val="1008"/>
        </w:numPr>
        <w:pStyle w:val="Compact"/>
      </w:pPr>
      <w:r>
        <w:t xml:space="preserve">2.2.2 La complexité algorithmique des identifiants et du versionnement</w:t>
      </w:r>
    </w:p>
    <w:p>
      <w:pPr>
        <w:numPr>
          <w:ilvl w:val="0"/>
          <w:numId w:val="1006"/>
        </w:numPr>
        <w:pStyle w:val="Compact"/>
      </w:pPr>
      <w:r>
        <w:t xml:space="preserve">2.3 Adaptation stratégique : le déploiement en « coquilles vides »</w:t>
      </w:r>
    </w:p>
    <w:p>
      <w:pPr>
        <w:numPr>
          <w:ilvl w:val="1"/>
          <w:numId w:val="1009"/>
        </w:numPr>
        <w:pStyle w:val="Compact"/>
      </w:pPr>
      <w:r>
        <w:t xml:space="preserve">2.3.1 Une approche agile par priorisation</w:t>
      </w:r>
    </w:p>
    <w:p>
      <w:pPr>
        <w:numPr>
          <w:ilvl w:val="1"/>
          <w:numId w:val="1009"/>
        </w:numPr>
        <w:pStyle w:val="Compact"/>
      </w:pPr>
      <w:r>
        <w:t xml:space="preserve">2.3.2 Gains opérationnels et lissage de la charge</w:t>
      </w:r>
    </w:p>
    <w:p>
      <w:pPr>
        <w:numPr>
          <w:ilvl w:val="0"/>
          <w:numId w:val="1006"/>
        </w:numPr>
        <w:pStyle w:val="Compact"/>
      </w:pPr>
      <w:r>
        <w:t xml:space="preserve">2.4 Bilan de la migration à la fin du premier semestre</w:t>
      </w:r>
    </w:p>
    <w:p>
      <w:pPr>
        <w:pStyle w:val="FirstParagraph"/>
      </w:pPr>
      <w:r>
        <w:t xml:space="preserve">Ce chapitre détaille la mission centrale du premier semestre : la migration des données</w:t>
      </w:r>
      <w:r>
        <w:t xml:space="preserve"> </w:t>
      </w:r>
      <w:r>
        <w:t xml:space="preserve">opérationnelles de la base historique Grimmo vers le nouvel ERP du groupe, SPO, édité par</w:t>
      </w:r>
      <w:r>
        <w:t xml:space="preserve"> </w:t>
      </w:r>
      <w:r>
        <w:t xml:space="preserve">Salvia. Ce projet visait un objectif critique : récupérer l’intégralité des opérations</w:t>
      </w:r>
      <w:r>
        <w:t xml:space="preserve"> </w:t>
      </w:r>
      <w:r>
        <w:t xml:space="preserve">immobilières actives pour assurer la continuité de la gestion financière et comptable du</w:t>
      </w:r>
      <w:r>
        <w:t xml:space="preserve"> </w:t>
      </w:r>
      <w:r>
        <w:t xml:space="preserve">groupe dans le nouvel environnement. J’y expose la stratégie de reprise retenue, les deux</w:t>
      </w:r>
      <w:r>
        <w:t xml:space="preserve"> </w:t>
      </w:r>
      <w:r>
        <w:t xml:space="preserve">difficultés structurelles qui ont mobilisé l’essentiel de mon temps, et l’arbitrage</w:t>
      </w:r>
      <w:r>
        <w:t xml:space="preserve"> </w:t>
      </w:r>
      <w:r>
        <w:t xml:space="preserve">stratégique qui a permis de tenir les délais sans sacrifier la continuité de service.</w:t>
      </w:r>
    </w:p>
    <w:bookmarkStart w:id="50" w:name="Xb8770bfe608f1ba05df652b0e72d1a85225990c"/>
    <w:p>
      <w:pPr>
        <w:pStyle w:val="Heading2"/>
      </w:pPr>
      <w:r>
        <w:t xml:space="preserve">2.1 Stratégie de reprise et méthodologie de travail</w:t>
      </w:r>
    </w:p>
    <w:bookmarkStart w:id="41" w:name="Xd91d6130745094fe5ccbe5adac01ddcf9454329"/>
    <w:p>
      <w:pPr>
        <w:pStyle w:val="Heading3"/>
      </w:pPr>
      <w:r>
        <w:t xml:space="preserve">2.1.1 Un arbitrage initial : automatiser ou saisir</w:t>
      </w:r>
    </w:p>
    <w:p>
      <w:pPr>
        <w:pStyle w:val="FirstParagraph"/>
      </w:pPr>
      <w:r>
        <w:t xml:space="preserve">Le périmètre de la migration concernait un volume de 283 opérations immobilières. Face à</w:t>
      </w:r>
      <w:r>
        <w:t xml:space="preserve"> </w:t>
      </w:r>
      <w:r>
        <w:t xml:space="preserve">cette volumétrie conséquente, une saisie manuelle intégrale aurait représenté un risque</w:t>
      </w:r>
      <w:r>
        <w:t xml:space="preserve"> </w:t>
      </w:r>
      <w:r>
        <w:t xml:space="preserve">d’erreur humaine trop élevé et une charge de travail incompatible avec les délais impartis.</w:t>
      </w:r>
      <w:r>
        <w:t xml:space="preserve"> </w:t>
      </w:r>
      <w:r>
        <w:t xml:space="preserve">Nous avons donc opté pour une stratégie hybride :</w:t>
      </w:r>
    </w:p>
    <w:p>
      <w:pPr>
        <w:numPr>
          <w:ilvl w:val="0"/>
          <w:numId w:val="1010"/>
        </w:numPr>
        <w:pStyle w:val="Compact"/>
      </w:pPr>
      <w:r>
        <w:t xml:space="preserve">Une approche automatisée pour l’injection des gros volumes de données structurelles via</w:t>
      </w:r>
      <w:r>
        <w:t xml:space="preserve"> </w:t>
      </w:r>
      <w:r>
        <w:t xml:space="preserve">les API, afin de garantir rapidité et cohérence.</w:t>
      </w:r>
    </w:p>
    <w:p>
      <w:pPr>
        <w:numPr>
          <w:ilvl w:val="0"/>
          <w:numId w:val="1010"/>
        </w:numPr>
        <w:pStyle w:val="Compact"/>
      </w:pPr>
      <w:r>
        <w:t xml:space="preserve">Un traitement manuel pour les exceptions et les cas particuliers historiques ne pouvant</w:t>
      </w:r>
      <w:r>
        <w:t xml:space="preserve"> </w:t>
      </w:r>
      <w:r>
        <w:t xml:space="preserve">entrer dans les gabarits standardisés.</w:t>
      </w:r>
    </w:p>
    <w:p>
      <w:pPr>
        <w:pStyle w:val="FirstParagraph"/>
      </w:pPr>
      <w:r>
        <w:t xml:space="preserve">Cet arbitrage n’allait pas de soi. Automatiser suppose un investissement initial qui ne se</w:t>
      </w:r>
      <w:r>
        <w:t xml:space="preserve"> </w:t>
      </w:r>
      <w:r>
        <w:t xml:space="preserve">rentabilise que si le volume est suffisant et les données homogènes : sur 283 opérations, la</w:t>
      </w:r>
      <w:r>
        <w:t xml:space="preserve"> </w:t>
      </w:r>
      <w:r>
        <w:t xml:space="preserve">première condition était remplie, la seconde seulement en partie. Vouloir tout automatiser</w:t>
      </w:r>
      <w:r>
        <w:t xml:space="preserve"> </w:t>
      </w:r>
      <w:r>
        <w:t xml:space="preserve">aurait conduit à écrire des règles pour des cas uniques, ce qui coûte plus cher que de les</w:t>
      </w:r>
      <w:r>
        <w:t xml:space="preserve"> </w:t>
      </w:r>
      <w:r>
        <w:t xml:space="preserve">traiter à la main. Mon travail s’est ensuite structuré en deux phases, une phase préparatoire</w:t>
      </w:r>
      <w:r>
        <w:t xml:space="preserve"> </w:t>
      </w:r>
      <w:r>
        <w:t xml:space="preserve">d’appropriation et une phase opérationnelle d’industrialisation.</w:t>
      </w:r>
    </w:p>
    <w:bookmarkEnd w:id="41"/>
    <w:bookmarkStart w:id="45" w:name="X9b8e71893ef4a9b2f6db05b55d3a3c4a76426cf"/>
    <w:p>
      <w:pPr>
        <w:pStyle w:val="Heading3"/>
      </w:pPr>
      <w:r>
        <w:t xml:space="preserve">2.1.2 Phase préparatoire : appropriation technique et tests unitaires</w:t>
      </w:r>
    </w:p>
    <w:p>
      <w:pPr>
        <w:pStyle w:val="FirstParagraph"/>
      </w:pPr>
      <w:r>
        <w:t xml:space="preserve">Avant de pouvoir manipuler les données de masse, il était indispensable de maîtriser le</w:t>
      </w:r>
      <w:r>
        <w:t xml:space="preserve"> </w:t>
      </w:r>
      <w:r>
        <w:t xml:space="preserve">modèle de données cible. Ma première tâche a consisté à analyser en profondeur la</w:t>
      </w:r>
      <w:r>
        <w:t xml:space="preserve"> </w:t>
      </w:r>
      <w:r>
        <w:t xml:space="preserve">documentation technique de l’API de Salvia [2]. L’enjeu était de comprendre la structure des</w:t>
      </w:r>
      <w:r>
        <w:t xml:space="preserve"> </w:t>
      </w:r>
      <w:r>
        <w:t xml:space="preserve">objets attendus par l’ERP et leurs interdépendances.</w:t>
      </w:r>
    </w:p>
    <w:p>
      <w:pPr>
        <w:pStyle w:val="BodyText"/>
      </w:pPr>
      <w:r>
        <w:t xml:space="preserve">La Figure 2.1 montre l’interface de SPO sur le dossier d’une opération. On y lit directement le</w:t>
      </w:r>
      <w:r>
        <w:t xml:space="preserve"> </w:t>
      </w:r>
      <w:r>
        <w:t xml:space="preserve">modèle de données : une opération est un conteneur, auquel se rattachent notamment son</w:t>
      </w:r>
      <w:r>
        <w:t xml:space="preserve"> </w:t>
      </w:r>
      <w:r>
        <w:t xml:space="preserve">identification, ses indicateurs, son foncier, ses intervenants, ses versions, ses tranches, son</w:t>
      </w:r>
      <w:r>
        <w:t xml:space="preserve"> </w:t>
      </w:r>
      <w:r>
        <w:t xml:space="preserve">budget, son planning, sa commercialisation et sa trésorerie. Cette arborescence n’est pas une</w:t>
      </w:r>
      <w:r>
        <w:t xml:space="preserve"> </w:t>
      </w:r>
      <w:r>
        <w:t xml:space="preserve">commodité d’affichage, c’est la structure même que l’API attend, et la comprendre était le</w:t>
      </w:r>
      <w:r>
        <w:t xml:space="preserve"> </w:t>
      </w:r>
      <w:r>
        <w:t xml:space="preserve">préalable à toute injection.</w:t>
      </w:r>
    </w:p>
    <w:p>
      <w:pPr>
        <w:pStyle w:val="CaptionedFigure"/>
      </w:pPr>
      <w:r>
        <w:drawing>
          <wp:inline>
            <wp:extent cx="5334000" cy="1780822"/>
            <wp:effectExtent b="0" l="0" r="0" t="0"/>
            <wp:docPr descr="L’interface de SPO sur le dossier d’une opération : l’arborescence de gauche donne le modèle de données cible" title="" id="43" name="Picture"/>
            <a:graphic>
              <a:graphicData uri="http://schemas.openxmlformats.org/drawingml/2006/picture">
                <pic:pic>
                  <pic:nvPicPr>
                    <pic:cNvPr descr="figures/fig_2_1_interface_sp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– L’interface de SPO sur le dossier d’une opération : l’arborescence de gauche donne le modèle de données cible</w:t>
      </w:r>
    </w:p>
    <w:p>
      <w:pPr>
        <w:pStyle w:val="BodyText"/>
      </w:pPr>
      <w:r>
        <w:t xml:space="preserve">J’ai ensuite mené une phase de tests unitaires d’appels API. N’utilisant pas encore l’outil</w:t>
      </w:r>
      <w:r>
        <w:t xml:space="preserve"> </w:t>
      </w:r>
      <w:r>
        <w:t xml:space="preserve">d’injection final à ce stade, j’ai testé manuellement les différents endpoints (points de</w:t>
      </w:r>
      <w:r>
        <w:t xml:space="preserve"> </w:t>
      </w:r>
      <w:r>
        <w:t xml:space="preserve">terminaison), pour décortiquer la mécanique de création d’une donnée. Cette étape m’a permis</w:t>
      </w:r>
      <w:r>
        <w:t xml:space="preserve"> </w:t>
      </w:r>
      <w:r>
        <w:t xml:space="preserve">de valider quels champs étaient obligatoires et de comprendre la logique séquentielle imposée</w:t>
      </w:r>
      <w:r>
        <w:t xml:space="preserve"> </w:t>
      </w:r>
      <w:r>
        <w:t xml:space="preserve">par le logiciel.</w:t>
      </w:r>
    </w:p>
    <w:p>
      <w:pPr>
        <w:pStyle w:val="BodyText"/>
      </w:pPr>
      <w:r>
        <w:t xml:space="preserve">Deux informations distinctes sont sorties de ces tests, et il est utile de les séparer. La</w:t>
      </w:r>
      <w:r>
        <w:t xml:space="preserve"> </w:t>
      </w:r>
      <w:r>
        <w:t xml:space="preserve">première tient au contenu de chaque objet : quels champs l’ERP exige pour accepter une</w:t>
      </w:r>
      <w:r>
        <w:t xml:space="preserve"> </w:t>
      </w:r>
      <w:r>
        <w:t xml:space="preserve">création, et lesquels il tolère vides. La documentation de l’éditeur les décrit, mais la</w:t>
      </w:r>
      <w:r>
        <w:t xml:space="preserve"> </w:t>
      </w:r>
      <w:r>
        <w:t xml:space="preserve">description reste théorique tant qu’on n’a pas vu le service la refuser. La seconde tient à</w:t>
      </w:r>
      <w:r>
        <w:t xml:space="preserve"> </w:t>
      </w:r>
      <w:r>
        <w:t xml:space="preserve">l’enchaînement des objets entre eux, c’est-à-dire à l’ordre dans lequel il faut les créer ;</w:t>
      </w:r>
      <w:r>
        <w:t xml:space="preserve"> </w:t>
      </w:r>
      <w:r>
        <w:t xml:space="preserve">elle n’était pas explicitée par la documentation, et c’est elle qui a occupé la suite du</w:t>
      </w:r>
      <w:r>
        <w:t xml:space="preserve"> </w:t>
      </w:r>
      <w:r>
        <w:t xml:space="preserve">travail.</w:t>
      </w:r>
    </w:p>
    <w:p>
      <w:pPr>
        <w:pStyle w:val="BodyText"/>
      </w:pPr>
      <w:r>
        <w:t xml:space="preserve">Cette phase peut sembler improductive : elle ne crée aucune donnée et ne produit aucun</w:t>
      </w:r>
      <w:r>
        <w:t xml:space="preserve"> </w:t>
      </w:r>
      <w:r>
        <w:t xml:space="preserve">livrable visible. Je la considère pourtant comme la plus rentable de tout le projet. Chaque</w:t>
      </w:r>
      <w:r>
        <w:t xml:space="preserve"> </w:t>
      </w:r>
      <w:r>
        <w:t xml:space="preserve">règle découverte à ce stade sur un objet unique aurait coûté, découverte plus tard, un rejet</w:t>
      </w:r>
      <w:r>
        <w:t xml:space="preserve"> </w:t>
      </w:r>
      <w:r>
        <w:t xml:space="preserve">sur plusieurs centaines de lignes et une reprise complète du fichier d’injection.</w:t>
      </w:r>
    </w:p>
    <w:bookmarkEnd w:id="45"/>
    <w:bookmarkStart w:id="49" w:name="industrialisation-des-flux-via-directapi"/>
    <w:p>
      <w:pPr>
        <w:pStyle w:val="Heading3"/>
      </w:pPr>
      <w:r>
        <w:t xml:space="preserve">2.1.3 Industrialisation des flux via DirectAPI</w:t>
      </w:r>
    </w:p>
    <w:p>
      <w:pPr>
        <w:pStyle w:val="FirstParagraph"/>
      </w:pPr>
      <w:r>
        <w:t xml:space="preserve">Une fois le fonctionnement théorique validé, nous avons déployé le module DirectAPI de</w:t>
      </w:r>
      <w:r>
        <w:t xml:space="preserve"> </w:t>
      </w:r>
      <w:r>
        <w:t xml:space="preserve">l’éditeur, conçu pour interfacer des fichiers plats avec l’ERP. L’interface de cet outil</w:t>
      </w:r>
      <w:r>
        <w:t xml:space="preserve"> </w:t>
      </w:r>
      <w:r>
        <w:t xml:space="preserve">d’import, qui permet le paramétrage des flux et le suivi des injections, est présentée en</w:t>
      </w:r>
      <w:r>
        <w:t xml:space="preserve"> </w:t>
      </w:r>
      <w:r>
        <w:t xml:space="preserve">Figure 2.2. Mon rôle a été de construire l’intégralité du pipeline d’alimentation de cet</w:t>
      </w:r>
      <w:r>
        <w:t xml:space="preserve"> </w:t>
      </w:r>
      <w:r>
        <w:t xml:space="preserve">outil.</w:t>
      </w:r>
    </w:p>
    <w:p>
      <w:pPr>
        <w:pStyle w:val="CaptionedFigure"/>
      </w:pPr>
      <w:r>
        <w:drawing>
          <wp:inline>
            <wp:extent cx="4160520" cy="3072186"/>
            <wp:effectExtent b="0" l="0" r="0" t="0"/>
            <wp:docPr descr="L’interface utilisateur du module DirectAPI, ici sur la ressource « Tiers »" title="" id="47" name="Picture"/>
            <a:graphic>
              <a:graphicData uri="http://schemas.openxmlformats.org/drawingml/2006/picture">
                <pic:pic>
                  <pic:nvPicPr>
                    <pic:cNvPr descr="figures/fig_2_2_directapi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072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– L’interface utilisateur du module DirectAPI, ici sur la ressource « Tiers »</w:t>
      </w:r>
    </w:p>
    <w:p>
      <w:pPr>
        <w:pStyle w:val="BodyText"/>
      </w:pPr>
      <w:r>
        <w:t xml:space="preserve">Concrètement, j’ai conçu des maquettes d’injection Excel complexes, servant de pont entre</w:t>
      </w:r>
      <w:r>
        <w:t xml:space="preserve"> </w:t>
      </w:r>
      <w:r>
        <w:t xml:space="preserve">l’ancien et le nouveau système. Ce pipeline de données se décompose en trois étapes clés 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: j’ai utilisé MyReport Builder pour requêter directement notre base de</w:t>
      </w:r>
      <w:r>
        <w:t xml:space="preserve"> </w:t>
      </w:r>
      <w:r>
        <w:t xml:space="preserve">données source et extraire les données brutes nécessaires.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Transformation et mapping</w:t>
      </w:r>
      <w:r>
        <w:t xml:space="preserve"> </w:t>
      </w:r>
      <w:r>
        <w:t xml:space="preserve">: c’est le cœur du traitement. Dans Excel, j’ai mis en place</w:t>
      </w:r>
      <w:r>
        <w:t xml:space="preserve"> </w:t>
      </w:r>
      <w:r>
        <w:t xml:space="preserve">des formules de recherche avancées (RechercheX) pour mapper les anciens champs Grimmo vers</w:t>
      </w:r>
      <w:r>
        <w:t xml:space="preserve"> </w:t>
      </w:r>
      <w:r>
        <w:t xml:space="preserve">la nomenclature stricte de SPO. Ces correspondances s’appuyaient sur des tables de</w:t>
      </w:r>
      <w:r>
        <w:t xml:space="preserve"> </w:t>
      </w:r>
      <w:r>
        <w:t xml:space="preserve">paramétrage extraites de SPO ou sur des fichiers de mapping que j’ai constitués.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Chargement</w:t>
      </w:r>
      <w:r>
        <w:t xml:space="preserve"> </w:t>
      </w:r>
      <w:r>
        <w:t xml:space="preserve">: les maquettes finalisées étaient ensuite injectées via DirectAPI.</w:t>
      </w:r>
    </w:p>
    <w:p>
      <w:pPr>
        <w:pStyle w:val="FirstParagraph"/>
      </w:pPr>
      <w:r>
        <w:t xml:space="preserve">L’étape de transformation est celle qui a demandé le plus de travail, et celle dont dépendait</w:t>
      </w:r>
      <w:r>
        <w:t xml:space="preserve"> </w:t>
      </w:r>
      <w:r>
        <w:t xml:space="preserve">la validité de tout le reste. La nomenclature de SPO est stricte : un libellé de poste</w:t>
      </w:r>
      <w:r>
        <w:t xml:space="preserve"> </w:t>
      </w:r>
      <w:r>
        <w:t xml:space="preserve">budgétaire ou un type de tranche doit correspondre à une valeur que le nouveau système</w:t>
      </w:r>
      <w:r>
        <w:t xml:space="preserve"> </w:t>
      </w:r>
      <w:r>
        <w:t xml:space="preserve">reconnaît, faute de quoi la ligne est rejetée. Le travail a donc consisté, champ par champ, à</w:t>
      </w:r>
      <w:r>
        <w:t xml:space="preserve"> </w:t>
      </w:r>
      <w:r>
        <w:t xml:space="preserve">établir la correspondance entre ce que l’ancien système contenait et ce que le nouveau</w:t>
      </w:r>
      <w:r>
        <w:t xml:space="preserve"> </w:t>
      </w:r>
      <w:r>
        <w:t xml:space="preserve">accepte.</w:t>
      </w:r>
    </w:p>
    <w:p>
      <w:pPr>
        <w:pStyle w:val="BodyText"/>
      </w:pPr>
      <w:r>
        <w:t xml:space="preserve">Ces correspondances n’ont pas toutes la même origine, et la distinction compte. Certaines</w:t>
      </w:r>
      <w:r>
        <w:t xml:space="preserve"> </w:t>
      </w:r>
      <w:r>
        <w:t xml:space="preserve">proviennent de tables de paramétrage extraites de SPO : ce sont les listes de valeurs que</w:t>
      </w:r>
      <w:r>
        <w:t xml:space="preserve"> </w:t>
      </w:r>
      <w:r>
        <w:t xml:space="preserve">l’ERP tient lui-même, qu’il suffit d’interroger. D’autres sont des fichiers de mapping que</w:t>
      </w:r>
      <w:r>
        <w:t xml:space="preserve"> </w:t>
      </w:r>
      <w:r>
        <w:t xml:space="preserve">j’ai constitués. La différence est importante au moment de rendre des comptes : dans le</w:t>
      </w:r>
      <w:r>
        <w:t xml:space="preserve"> </w:t>
      </w:r>
      <w:r>
        <w:t xml:space="preserve">premier cas, une divergence est une erreur de lecture ; dans le second, c’est une mise en</w:t>
      </w:r>
      <w:r>
        <w:t xml:space="preserve"> </w:t>
      </w:r>
      <w:r>
        <w:t xml:space="preserve">correspondance dont je réponds.</w:t>
      </w:r>
    </w:p>
    <w:p>
      <w:pPr>
        <w:pStyle w:val="BodyText"/>
      </w:pPr>
      <w:r>
        <w:t xml:space="preserve">La fonction RechercheX joue dans ces maquettes le rôle d’une jointure : elle va chercher,</w:t>
      </w:r>
      <w:r>
        <w:t xml:space="preserve"> </w:t>
      </w:r>
      <w:r>
        <w:t xml:space="preserve">dans la table de correspondance, la valeur cible associée à la valeur source. Le choix</w:t>
      </w:r>
      <w:r>
        <w:t xml:space="preserve"> </w:t>
      </w:r>
      <w:r>
        <w:t xml:space="preserve">d’Excel comme moteur de transformation prolonge l’arbitrage exposé plus haut : la maquette</w:t>
      </w:r>
      <w:r>
        <w:t xml:space="preserve"> </w:t>
      </w:r>
      <w:r>
        <w:t xml:space="preserve">reste lisible par les personnes qui connaissent le métier et non le code, et une</w:t>
      </w:r>
      <w:r>
        <w:t xml:space="preserve"> </w:t>
      </w:r>
      <w:r>
        <w:t xml:space="preserve">correspondance douteuse peut leur être montrée telle quelle.</w:t>
      </w:r>
    </w:p>
    <w:p>
      <w:pPr>
        <w:pStyle w:val="BodyText"/>
      </w:pPr>
      <w:r>
        <w:t xml:space="preserve">Pour sécuriser ce processus, j’ai appliqué une méthode de validation itérative : nous avons</w:t>
      </w:r>
      <w:r>
        <w:t xml:space="preserve"> </w:t>
      </w:r>
      <w:r>
        <w:t xml:space="preserve">d’abord migré 3 opérations pilotes, puis un lot de 12, afin de corriger les éventuels rejets</w:t>
      </w:r>
      <w:r>
        <w:t xml:space="preserve"> </w:t>
      </w:r>
      <w:r>
        <w:t xml:space="preserve">avant de lancer la migration de masse. Cette progression par paliers a une vertu que je n’ai</w:t>
      </w:r>
      <w:r>
        <w:t xml:space="preserve"> </w:t>
      </w:r>
      <w:r>
        <w:t xml:space="preserve">mesurée qu’après coup : elle rend les erreurs lisibles. Sur trois opérations, un rejet</w:t>
      </w:r>
      <w:r>
        <w:t xml:space="preserve"> </w:t>
      </w:r>
      <w:r>
        <w:t xml:space="preserve">s’analyse en quelques minutes ; sur plusieurs dizaines, les messages se mélangent et il</w:t>
      </w:r>
      <w:r>
        <w:t xml:space="preserve"> </w:t>
      </w:r>
      <w:r>
        <w:t xml:space="preserve">devient difficile de savoir quelle règle a été violée.</w:t>
      </w:r>
    </w:p>
    <w:bookmarkEnd w:id="49"/>
    <w:bookmarkEnd w:id="50"/>
    <w:bookmarkStart w:id="59" w:name="Xb97b3a3d989ca0b2e2d3afd4de7a17a52c02384"/>
    <w:p>
      <w:pPr>
        <w:pStyle w:val="Heading2"/>
      </w:pPr>
      <w:r>
        <w:t xml:space="preserve">2.2 Les défis techniques majeurs : dépendances et identifiants</w:t>
      </w:r>
    </w:p>
    <w:p>
      <w:pPr>
        <w:pStyle w:val="FirstParagraph"/>
      </w:pPr>
      <w:r>
        <w:t xml:space="preserve">Au-delà de la volumétrie, la complexité de cette migration a résidé dans l’architecture même</w:t>
      </w:r>
      <w:r>
        <w:t xml:space="preserve"> </w:t>
      </w:r>
      <w:r>
        <w:t xml:space="preserve">de la base de données cible. Ce projet ne s’est pas résumé à un simple transfert de données,</w:t>
      </w:r>
      <w:r>
        <w:t xml:space="preserve"> </w:t>
      </w:r>
      <w:r>
        <w:t xml:space="preserve">mais a nécessité une véritable rétro-ingénierie des processus de l’ERP. J’ai été confrontée</w:t>
      </w:r>
      <w:r>
        <w:t xml:space="preserve"> </w:t>
      </w:r>
      <w:r>
        <w:t xml:space="preserve">à deux difficultés structurelles majeures qui ont nécessité une analyse approfondie.</w:t>
      </w:r>
    </w:p>
    <w:bookmarkStart w:id="54" w:name="la-gestion-des-dépendances-hiérarchiques"/>
    <w:p>
      <w:pPr>
        <w:pStyle w:val="Heading3"/>
      </w:pPr>
      <w:r>
        <w:t xml:space="preserve">2.2.1 La gestion des dépendances hiérarchiques</w:t>
      </w:r>
    </w:p>
    <w:p>
      <w:pPr>
        <w:pStyle w:val="FirstParagraph"/>
      </w:pPr>
      <w:r>
        <w:t xml:space="preserve">La première difficulté a été de décrypter l’ordre strict d’injection des données, une</w:t>
      </w:r>
      <w:r>
        <w:t xml:space="preserve"> </w:t>
      </w:r>
      <w:r>
        <w:t xml:space="preserve">contrainte d’intégrité référentielle qui n’était pas explicite dans la documentation</w:t>
      </w:r>
      <w:r>
        <w:t xml:space="preserve"> </w:t>
      </w:r>
      <w:r>
        <w:t xml:space="preserve">technique de l’éditeur.</w:t>
      </w:r>
    </w:p>
    <w:p>
      <w:pPr>
        <w:pStyle w:val="BodyText"/>
      </w:pPr>
      <w:r>
        <w:t xml:space="preserve">J’ai découvert cette logique empiriquement, en analysant les codes d’erreur renvoyés par</w:t>
      </w:r>
      <w:r>
        <w:t xml:space="preserve"> </w:t>
      </w:r>
      <w:r>
        <w:t xml:space="preserve">l’API lors de mes premiers tests d’injection. Il est apparu qu’il fallait respecter une</w:t>
      </w:r>
      <w:r>
        <w:t xml:space="preserve"> </w:t>
      </w:r>
      <w:r>
        <w:t xml:space="preserve">séquence de création immuable :</w:t>
      </w:r>
    </w:p>
    <w:p>
      <w:pPr>
        <w:numPr>
          <w:ilvl w:val="0"/>
          <w:numId w:val="1012"/>
        </w:numPr>
        <w:pStyle w:val="Compact"/>
      </w:pPr>
      <w:r>
        <w:t xml:space="preserve">Création de l’opération, le conteneur principal.</w:t>
      </w:r>
    </w:p>
    <w:p>
      <w:pPr>
        <w:numPr>
          <w:ilvl w:val="0"/>
          <w:numId w:val="1012"/>
        </w:numPr>
        <w:pStyle w:val="Compact"/>
      </w:pPr>
      <w:r>
        <w:t xml:space="preserve">Création des tranches de travaux.</w:t>
      </w:r>
    </w:p>
    <w:p>
      <w:pPr>
        <w:numPr>
          <w:ilvl w:val="0"/>
          <w:numId w:val="1012"/>
        </w:numPr>
        <w:pStyle w:val="Compact"/>
      </w:pPr>
      <w:r>
        <w:t xml:space="preserve">Création des tranches commerciales.</w:t>
      </w:r>
    </w:p>
    <w:p>
      <w:pPr>
        <w:numPr>
          <w:ilvl w:val="0"/>
          <w:numId w:val="1012"/>
        </w:numPr>
        <w:pStyle w:val="Compact"/>
      </w:pPr>
      <w:r>
        <w:t xml:space="preserve">Création du budget associé.</w:t>
      </w:r>
    </w:p>
    <w:p>
      <w:pPr>
        <w:pStyle w:val="FirstParagraph"/>
      </w:pPr>
      <w:r>
        <w:t xml:space="preserve">La Figure 2.3 représente cette séquence et les dépendances qu’elle traduit. Toute tentative</w:t>
      </w:r>
      <w:r>
        <w:t xml:space="preserve"> </w:t>
      </w:r>
      <w:r>
        <w:t xml:space="preserve">d’injection ne respectant pas cet ordre se soldait par un échec, le système ne trouvant pas</w:t>
      </w:r>
      <w:r>
        <w:t xml:space="preserve"> </w:t>
      </w:r>
      <w:r>
        <w:t xml:space="preserve">l’objet parent nécessaire.</w:t>
      </w:r>
    </w:p>
    <w:p>
      <w:pPr>
        <w:pStyle w:val="CaptionedFigure"/>
      </w:pPr>
      <w:r>
        <w:drawing>
          <wp:inline>
            <wp:extent cx="5067300" cy="1520449"/>
            <wp:effectExtent b="0" l="0" r="0" t="0"/>
            <wp:docPr descr="La séquence d’injection imposée par l’intégrité référentielle de l’ERP" title="" id="52" name="Picture"/>
            <a:graphic>
              <a:graphicData uri="http://schemas.openxmlformats.org/drawingml/2006/picture">
                <pic:pic>
                  <pic:nvPicPr>
                    <pic:cNvPr descr="figures/fig_2_3_sequence_injec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20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– La séquence d’injection imposée par l’intégrité référentielle de l’ERP</w:t>
      </w:r>
    </w:p>
    <w:p>
      <w:pPr>
        <w:pStyle w:val="BodyText"/>
      </w:pPr>
      <w:r>
        <w:t xml:space="preserve">Face à ce manque de clarté initial, j’ai pris l’initiative de rédiger une documentation</w:t>
      </w:r>
      <w:r>
        <w:t xml:space="preserve"> </w:t>
      </w:r>
      <w:r>
        <w:t xml:space="preserve">interne. Ce document cartographie les étapes de la séquence et les prérequis de chaque objet,</w:t>
      </w:r>
      <w:r>
        <w:t xml:space="preserve"> </w:t>
      </w:r>
      <w:r>
        <w:t xml:space="preserve">c’est-à-dire, pour chaque type de donnée à créer, ce qui doit exister avant lui. Il fixe donc</w:t>
      </w:r>
      <w:r>
        <w:t xml:space="preserve"> </w:t>
      </w:r>
      <w:r>
        <w:t xml:space="preserve">par écrit une connaissance qui n’existait jusque-là que sous la forme de codes d’erreur</w:t>
      </w:r>
      <w:r>
        <w:t xml:space="preserve"> </w:t>
      </w:r>
      <w:r>
        <w:t xml:space="preserve">interprétés, et il la rend transmissible : un guide de référence permettant d’éviter les</w:t>
      </w:r>
      <w:r>
        <w:t xml:space="preserve"> </w:t>
      </w:r>
      <w:r>
        <w:t xml:space="preserve">erreurs de séquencement lors des phases de reprise ultérieures.</w:t>
      </w:r>
    </w:p>
    <w:p>
      <w:pPr>
        <w:pStyle w:val="BodyText"/>
      </w:pPr>
      <w:r>
        <w:t xml:space="preserve">Rédiger cette note n’était pas prévu au départ. Je l’ai fait parce que les règles que les</w:t>
      </w:r>
      <w:r>
        <w:t xml:space="preserve"> </w:t>
      </w:r>
      <w:r>
        <w:t xml:space="preserve">codes d’erreur m’avaient révélées n’existaient nulle part ailleurs que dans mes notes de</w:t>
      </w:r>
      <w:r>
        <w:t xml:space="preserve"> </w:t>
      </w:r>
      <w:r>
        <w:t xml:space="preserve">test. C’est le premier livrable écrit de mon année qui n’était pas un fichier de données, et</w:t>
      </w:r>
      <w:r>
        <w:t xml:space="preserve"> </w:t>
      </w:r>
      <w:r>
        <w:t xml:space="preserve">c’est celui qui a le plus servi aux autres : la reprise des tiers, exposée au chapitre 3,</w:t>
      </w:r>
      <w:r>
        <w:t xml:space="preserve"> </w:t>
      </w:r>
      <w:r>
        <w:t xml:space="preserve">s’est appuyée directement dessus.</w:t>
      </w:r>
    </w:p>
    <w:bookmarkEnd w:id="54"/>
    <w:bookmarkStart w:id="58" w:name="X00656e4104db79b08065dd945d4a9f8dd0b1e46"/>
    <w:p>
      <w:pPr>
        <w:pStyle w:val="Heading3"/>
      </w:pPr>
      <w:r>
        <w:t xml:space="preserve">2.2.2 La complexité algorithmique des identifiants et du versionnement</w:t>
      </w:r>
    </w:p>
    <w:p>
      <w:pPr>
        <w:pStyle w:val="FirstParagraph"/>
      </w:pPr>
      <w:r>
        <w:t xml:space="preserve">La seconde difficulté, techniquement plus complexe, concernait la gestion des identifiants</w:t>
      </w:r>
      <w:r>
        <w:t xml:space="preserve"> </w:t>
      </w:r>
      <w:r>
        <w:t xml:space="preserve">uniques (ID) dans le cadre des mises à jour de données, par exemple pour rectifier un montant</w:t>
      </w:r>
      <w:r>
        <w:t xml:space="preserve"> </w:t>
      </w:r>
      <w:r>
        <w:t xml:space="preserve">de budget après sa création.</w:t>
      </w:r>
    </w:p>
    <w:p>
      <w:pPr>
        <w:pStyle w:val="BodyText"/>
      </w:pPr>
      <w:r>
        <w:t xml:space="preserve">Ces ID système n’étaient visibles nulle part dans l’interface utilisateur. De plus,</w:t>
      </w:r>
      <w:r>
        <w:t xml:space="preserve"> </w:t>
      </w:r>
      <w:r>
        <w:t xml:space="preserve">l’architecture de l’API SPO repose sur un principe de versionnement et non d’écrasement</w:t>
      </w:r>
      <w:r>
        <w:t xml:space="preserve"> </w:t>
      </w:r>
      <w:r>
        <w:t xml:space="preserve">simple, comme le ferait un UPDATE en SQL. Concrètement, lors de la modification d’un budget,</w:t>
      </w:r>
      <w:r>
        <w:t xml:space="preserve"> </w:t>
      </w:r>
      <w:r>
        <w:t xml:space="preserve">le système ne met pas à jour la ligne existante : il clôture la version précédente et crée un</w:t>
      </w:r>
      <w:r>
        <w:t xml:space="preserve"> </w:t>
      </w:r>
      <w:r>
        <w:t xml:space="preserve">nouveau budget avec un nouvel ID.</w:t>
      </w:r>
    </w:p>
    <w:p>
      <w:pPr>
        <w:pStyle w:val="BodyText"/>
      </w:pPr>
      <w:r>
        <w:t xml:space="preserve">Cette spécificité a rendu l’automatisation particulièrement délicate, car je ne pouvais me</w:t>
      </w:r>
      <w:r>
        <w:t xml:space="preserve"> </w:t>
      </w:r>
      <w:r>
        <w:t xml:space="preserve">fier à aucun ID statique pour cibler une donnée. Pour contourner cette contrainte, j’ai dû</w:t>
      </w:r>
      <w:r>
        <w:t xml:space="preserve"> </w:t>
      </w:r>
      <w:r>
        <w:t xml:space="preserve">concevoir et scripter une logique de requêtage dynamique en plusieurs étapes pour chaque</w:t>
      </w:r>
      <w:r>
        <w:t xml:space="preserve"> </w:t>
      </w:r>
      <w:r>
        <w:t xml:space="preserve">injection, que résume la Figure 2.4 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Appel GET</w:t>
      </w:r>
      <w:r>
        <w:t xml:space="preserve"> </w:t>
      </w:r>
      <w:r>
        <w:t xml:space="preserve">: interrogation de l’API pour récupérer la liste exhaustive de toutes les</w:t>
      </w:r>
      <w:r>
        <w:t xml:space="preserve"> </w:t>
      </w:r>
      <w:r>
        <w:t xml:space="preserve">versions de budgets liées à une opération donnée.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Traitement algorithmique</w:t>
      </w:r>
      <w:r>
        <w:t xml:space="preserve"> </w:t>
      </w:r>
      <w:r>
        <w:t xml:space="preserve">: tri des résultats pour identifier l’ID correspondant à</w:t>
      </w:r>
      <w:r>
        <w:t xml:space="preserve"> </w:t>
      </w:r>
      <w:r>
        <w:t xml:space="preserve">l’objet ayant la date de modification la plus récente, c’est-à-dire le budget actif.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Appel POST</w:t>
      </w:r>
      <w:r>
        <w:t xml:space="preserve"> </w:t>
      </w:r>
      <w:r>
        <w:t xml:space="preserve">: utilisation de cet ID spécifique pour effectuer la mise à jour finale.</w:t>
      </w:r>
    </w:p>
    <w:p>
      <w:pPr>
        <w:pStyle w:val="CaptionedFigure"/>
      </w:pPr>
      <w:r>
        <w:drawing>
          <wp:inline>
            <wp:extent cx="5334000" cy="2082397"/>
            <wp:effectExtent b="0" l="0" r="0" t="0"/>
            <wp:docPr descr="Le requêtage dynamique imposé par le versionnement des budgets" title="" id="56" name="Picture"/>
            <a:graphic>
              <a:graphicData uri="http://schemas.openxmlformats.org/drawingml/2006/picture">
                <pic:pic>
                  <pic:nvPicPr>
                    <pic:cNvPr descr="figures/fig_2_4_requetage_dynamiqu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2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– Le requêtage dynamique imposé par le versionnement des budgets</w:t>
      </w:r>
    </w:p>
    <w:p>
      <w:pPr>
        <w:pStyle w:val="BodyText"/>
      </w:pPr>
      <w:r>
        <w:t xml:space="preserve">Cette contrainte m’a surtout appris quelque chose de plus général sur les interfaces de</w:t>
      </w:r>
      <w:r>
        <w:t xml:space="preserve"> </w:t>
      </w:r>
      <w:r>
        <w:t xml:space="preserve">programmation : une API ne se contente pas d’exposer des données, elle impose un modèle de</w:t>
      </w:r>
      <w:r>
        <w:t xml:space="preserve"> </w:t>
      </w:r>
      <w:r>
        <w:t xml:space="preserve">comportement. Le versionnement traduit ici une exigence d’auditabilité comptable parfaitement</w:t>
      </w:r>
      <w:r>
        <w:t xml:space="preserve"> </w:t>
      </w:r>
      <w:r>
        <w:t xml:space="preserve">légitime, mais qui rend impossible toute écriture naïve. Comprendre l’intention derrière la</w:t>
      </w:r>
      <w:r>
        <w:t xml:space="preserve"> </w:t>
      </w:r>
      <w:r>
        <w:t xml:space="preserve">contrainte est ce qui permet de la contourner proprement plutôt que de lutter contre elle.</w:t>
      </w:r>
    </w:p>
    <w:bookmarkEnd w:id="58"/>
    <w:bookmarkEnd w:id="59"/>
    <w:bookmarkStart w:id="62" w:name="Xea480535e7be7d8b0c467a37807b1478220dbbb"/>
    <w:p>
      <w:pPr>
        <w:pStyle w:val="Heading2"/>
      </w:pPr>
      <w:r>
        <w:t xml:space="preserve">2.3 Adaptation stratégique : le déploiement en « coquilles vides »</w:t>
      </w:r>
    </w:p>
    <w:p>
      <w:pPr>
        <w:pStyle w:val="FirstParagraph"/>
      </w:pPr>
      <w:r>
        <w:t xml:space="preserve">Les complexités techniques exposées ci-dessus, jointes aux délais imposés par la direction,</w:t>
      </w:r>
      <w:r>
        <w:t xml:space="preserve"> </w:t>
      </w:r>
      <w:r>
        <w:t xml:space="preserve">nous ont confrontés à un arbitrage entre perfection technique et urgence opérationnelle. La</w:t>
      </w:r>
      <w:r>
        <w:t xml:space="preserve"> </w:t>
      </w:r>
      <w:r>
        <w:t xml:space="preserve">contrainte majeure venait du besoin des utilisateurs de facturer dès le basculement : pour que</w:t>
      </w:r>
      <w:r>
        <w:t xml:space="preserve"> </w:t>
      </w:r>
      <w:r>
        <w:t xml:space="preserve">ce processus fonctionne, et notamment le lien avec la Gestion Électronique des Documents</w:t>
      </w:r>
      <w:r>
        <w:t xml:space="preserve"> </w:t>
      </w:r>
      <w:r>
        <w:t xml:space="preserve">(GED), il fallait que les opérations existent dans l’ERP, même sans leur historique.</w:t>
      </w:r>
    </w:p>
    <w:bookmarkStart w:id="60" w:name="une-approche-agile-par-priorisation"/>
    <w:p>
      <w:pPr>
        <w:pStyle w:val="Heading3"/>
      </w:pPr>
      <w:r>
        <w:t xml:space="preserve">2.3.1 Une approche agile par priorisation</w:t>
      </w:r>
    </w:p>
    <w:p>
      <w:pPr>
        <w:pStyle w:val="FirstParagraph"/>
      </w:pPr>
      <w:r>
        <w:t xml:space="preserve">Nous avons donc adopté une stratégie de déploiement en « coquilles vides », qui dissocie le</w:t>
      </w:r>
      <w:r>
        <w:t xml:space="preserve"> </w:t>
      </w:r>
      <w:r>
        <w:t xml:space="preserve">contenant — la structure de l’opération — du contenu, c’est-à-dire les données budgétaires</w:t>
      </w:r>
      <w:r>
        <w:t xml:space="preserve"> </w:t>
      </w:r>
      <w:r>
        <w:t xml:space="preserve">détaillées. Le plan de migration a été réorienté pour créer massivement les fiches opérations</w:t>
      </w:r>
      <w:r>
        <w:t xml:space="preserve"> </w:t>
      </w:r>
      <w:r>
        <w:t xml:space="preserve">et injecter en priorité ce qui est indispensable à la facturation, code opération et libellé,</w:t>
      </w:r>
      <w:r>
        <w:t xml:space="preserve"> </w:t>
      </w:r>
      <w:r>
        <w:t xml:space="preserve">en laissant de côté les budgets passés et le détail des tranches, qui demandaient un temps de</w:t>
      </w:r>
      <w:r>
        <w:t xml:space="preserve"> </w:t>
      </w:r>
      <w:r>
        <w:t xml:space="preserve">nettoyage supérieur.</w:t>
      </w:r>
    </w:p>
    <w:p>
      <w:pPr>
        <w:pStyle w:val="BodyText"/>
      </w:pPr>
      <w:r>
        <w:t xml:space="preserve">Cette décision est celle dont j’ai le plus appris en matière de conduite de projet. Elle</w:t>
      </w:r>
      <w:r>
        <w:t xml:space="preserve"> </w:t>
      </w:r>
      <w:r>
        <w:t xml:space="preserve">suppose d’accepter qu’un système soit temporairement incomplet et de le documenter comme</w:t>
      </w:r>
      <w:r>
        <w:t xml:space="preserve"> </w:t>
      </w:r>
      <w:r>
        <w:t xml:space="preserve">tel, plutôt que de retarder la mise en service jusqu’à la complétude. Le risque est réel :</w:t>
      </w:r>
      <w:r>
        <w:t xml:space="preserve"> </w:t>
      </w:r>
      <w:r>
        <w:t xml:space="preserve">une donnée manquante que personne ne signale finit par être considérée comme absente pour de</w:t>
      </w:r>
      <w:r>
        <w:t xml:space="preserve"> </w:t>
      </w:r>
      <w:r>
        <w:t xml:space="preserve">bon. Nous l’avons couvert en tenant la liste de ce qui restait à reprendre, ce qui a</w:t>
      </w:r>
      <w:r>
        <w:t xml:space="preserve"> </w:t>
      </w:r>
      <w:r>
        <w:t xml:space="preserve">transformé une dette implicite en dette suivie.</w:t>
      </w:r>
    </w:p>
    <w:bookmarkEnd w:id="60"/>
    <w:bookmarkStart w:id="61" w:name="X8a3916e3a3d6e44abdc55e27c91bf4a397ba8d7"/>
    <w:p>
      <w:pPr>
        <w:pStyle w:val="Heading3"/>
      </w:pPr>
      <w:r>
        <w:t xml:space="preserve">2.3.2 Gains opérationnels et lissage de la charge</w:t>
      </w:r>
    </w:p>
    <w:p>
      <w:pPr>
        <w:pStyle w:val="FirstParagraph"/>
      </w:pPr>
      <w:r>
        <w:t xml:space="preserve">Cette stratégie a débloqué immédiatement la facturation et assuré la continuité de service</w:t>
      </w:r>
      <w:r>
        <w:t xml:space="preserve"> </w:t>
      </w:r>
      <w:r>
        <w:t xml:space="preserve">sans attendre la finalisation de la migration. Elle a de plus offert un délai précieux pour</w:t>
      </w:r>
      <w:r>
        <w:t xml:space="preserve"> </w:t>
      </w:r>
      <w:r>
        <w:t xml:space="preserve">traiter la reprise au fil de l’eau, sans la pression de l’urgence quotidienne.</w:t>
      </w:r>
    </w:p>
    <w:bookmarkEnd w:id="61"/>
    <w:bookmarkEnd w:id="62"/>
    <w:bookmarkStart w:id="63" w:name="X8e50bb95e08500e9a17fe736f31e6325f338acf"/>
    <w:p>
      <w:pPr>
        <w:pStyle w:val="Heading2"/>
      </w:pPr>
      <w:r>
        <w:t xml:space="preserve">2.4 Bilan de la migration à la fin du premier semestre</w:t>
      </w:r>
    </w:p>
    <w:p>
      <w:pPr>
        <w:pStyle w:val="FirstParagraph"/>
      </w:pPr>
      <w:r>
        <w:t xml:space="preserve">À la fin du premier semestre, nous n’étions qu’au début de ce chantier. La structure</w:t>
      </w:r>
      <w:r>
        <w:t xml:space="preserve"> </w:t>
      </w:r>
      <w:r>
        <w:t xml:space="preserve">fondamentale des dossiers était modélisée et intégrée — opérations et tranches de travaux, la</w:t>
      </w:r>
      <w:r>
        <w:t xml:space="preserve"> </w:t>
      </w:r>
      <w:r>
        <w:t xml:space="preserve">création des tranches commerciales étant encore en cours — mais une part conséquente du</w:t>
      </w:r>
      <w:r>
        <w:t xml:space="preserve"> </w:t>
      </w:r>
      <w:r>
        <w:t xml:space="preserve">travail restait à accomplir : l’intégration des données financières et comptables, notamment</w:t>
      </w:r>
      <w:r>
        <w:t xml:space="preserve"> </w:t>
      </w:r>
      <w:r>
        <w:t xml:space="preserve">la reprise détaillée des budgets et de l’historique des factures. Le tableau suivant</w:t>
      </w:r>
      <w:r>
        <w:t xml:space="preserve"> </w:t>
      </w:r>
      <w:r>
        <w:t xml:space="preserve">récapitule l’état d’avancement à ce jalon.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50"/>
        <w:gridCol w:w="456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du modèle 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 à la fin du premier semestre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Créées, hors budgets détaillés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Tranches de travaux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Tranches commerciales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cours de création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Budgets détaillés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Reportés, stratégie des « coquilles vides 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Historique des factures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repris à ce stade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Tiers, clients acquéreurs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repris à ce stade, voir chapitre 3</w:t>
            </w:r>
          </w:p>
        </w:tc>
      </w:tr>
    </w:tbl>
    <w:p>
      <w:pPr>
        <w:pStyle w:val="BodyText"/>
      </w:pPr>
      <w:r>
        <w:t xml:space="preserve">Les fondations techniques étaient donc posées et les pipelines d’injection fonctionnels. Ce</w:t>
      </w:r>
      <w:r>
        <w:t xml:space="preserve"> </w:t>
      </w:r>
      <w:r>
        <w:t xml:space="preserve">bilan appelle une remarque de méthode qui vaut au-delà de ce projet : sur un chantier de</w:t>
      </w:r>
      <w:r>
        <w:t xml:space="preserve"> </w:t>
      </w:r>
      <w:r>
        <w:t xml:space="preserve">reprise, l’avancement ne se mesure pas au nombre d’enregistrements créés, mais à la part du</w:t>
      </w:r>
      <w:r>
        <w:t xml:space="preserve"> </w:t>
      </w:r>
      <w:r>
        <w:t xml:space="preserve">modèle cible réellement couverte. Créer 283 opérations sans leurs budgets, ce n’est pas avoir</w:t>
      </w:r>
      <w:r>
        <w:t xml:space="preserve"> </w:t>
      </w:r>
      <w:r>
        <w:t xml:space="preserve">fait la moitié du travail, c’est avoir rendu la seconde moitié possible.</w:t>
      </w:r>
    </w:p>
    <w:p>
      <w:pPr>
        <w:pStyle w:val="BodyText"/>
      </w:pPr>
      <w:r>
        <w:t xml:space="preserve">Cette migration a défini le niveau d’exigence technique du reste de l’année : lire un modèle</w:t>
      </w:r>
      <w:r>
        <w:t xml:space="preserve"> </w:t>
      </w:r>
      <w:r>
        <w:t xml:space="preserve">de données inconnu par ses messages d’erreur, respecter une intégrité référentielle non</w:t>
      </w:r>
      <w:r>
        <w:t xml:space="preserve"> </w:t>
      </w:r>
      <w:r>
        <w:t xml:space="preserve">documentée, arbitrer entre exhaustivité et continuité de service. Le socle restait pourtant</w:t>
      </w:r>
      <w:r>
        <w:t xml:space="preserve"> </w:t>
      </w:r>
      <w:r>
        <w:t xml:space="preserve">incomplet : les opérations existaient, mais pas les clients qui y achètent. Le chapitre</w:t>
      </w:r>
      <w:r>
        <w:t xml:space="preserve"> </w:t>
      </w:r>
      <w:r>
        <w:t xml:space="preserve">suivant expose cette reprise des tiers, où la question centrale n’est plus l’ordre</w:t>
      </w:r>
      <w:r>
        <w:t xml:space="preserve"> </w:t>
      </w:r>
      <w:r>
        <w:t xml:space="preserve">d’injection mais celle-ci : à partir de quoi décide-t-on que deux lignes désignent la même</w:t>
      </w:r>
      <w:r>
        <w:t xml:space="preserve"> </w:t>
      </w:r>
      <w:r>
        <w:t xml:space="preserve">personne ?</w:t>
      </w:r>
    </w:p>
    <w:bookmarkEnd w:id="63"/>
    <w:bookmarkEnd w:id="64"/>
    <w:bookmarkStart w:id="92" w:name="Xb850fb48997814b2516c3c7a90a685c48a1c223"/>
    <w:p>
      <w:pPr>
        <w:pStyle w:val="Heading1"/>
      </w:pPr>
      <w:r>
        <w:t xml:space="preserve">3 La reprise des tiers : une chaîne de traitement pilotée par formules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14"/>
        </w:numPr>
        <w:pStyle w:val="Compact"/>
      </w:pPr>
      <w:r>
        <w:t xml:space="preserve">3.1 Contexte et enjeux de la reprise des tiers</w:t>
      </w:r>
    </w:p>
    <w:p>
      <w:pPr>
        <w:numPr>
          <w:ilvl w:val="1"/>
          <w:numId w:val="1015"/>
        </w:numPr>
        <w:pStyle w:val="Compact"/>
      </w:pPr>
      <w:r>
        <w:t xml:space="preserve">3.1.1 Du CRM Vadimm à l’ERP SPO : le périmètre des données clients</w:t>
      </w:r>
    </w:p>
    <w:p>
      <w:pPr>
        <w:numPr>
          <w:ilvl w:val="1"/>
          <w:numId w:val="1015"/>
        </w:numPr>
        <w:pStyle w:val="Compact"/>
      </w:pPr>
      <w:r>
        <w:t xml:space="preserve">3.1.2 L’enjeu central : créer sans dupliquer</w:t>
      </w:r>
    </w:p>
    <w:p>
      <w:pPr>
        <w:numPr>
          <w:ilvl w:val="0"/>
          <w:numId w:val="1014"/>
        </w:numPr>
        <w:pStyle w:val="Compact"/>
      </w:pPr>
      <w:r>
        <w:t xml:space="preserve">3.2 Conception du fichier de travail : une chaîne de traitement pilotée par formules</w:t>
      </w:r>
    </w:p>
    <w:p>
      <w:pPr>
        <w:numPr>
          <w:ilvl w:val="1"/>
          <w:numId w:val="1016"/>
        </w:numPr>
        <w:pStyle w:val="Compact"/>
      </w:pPr>
      <w:r>
        <w:t xml:space="preserve">3.2.1 Une architecture en trois temps : sources, feuille pivot, feuilles de sortie</w:t>
      </w:r>
    </w:p>
    <w:p>
      <w:pPr>
        <w:numPr>
          <w:ilvl w:val="1"/>
          <w:numId w:val="1016"/>
        </w:numPr>
        <w:pStyle w:val="Compact"/>
      </w:pPr>
      <w:r>
        <w:t xml:space="preserve">3.2.2 Le modèle de données des tiers dans SPO : couples, personnes physiques, personnes morales</w:t>
      </w:r>
    </w:p>
    <w:p>
      <w:pPr>
        <w:numPr>
          <w:ilvl w:val="0"/>
          <w:numId w:val="1014"/>
        </w:numPr>
        <w:pStyle w:val="Compact"/>
      </w:pPr>
      <w:r>
        <w:t xml:space="preserve">3.3 Les trois mécanismes algorithmiques</w:t>
      </w:r>
    </w:p>
    <w:p>
      <w:pPr>
        <w:numPr>
          <w:ilvl w:val="1"/>
          <w:numId w:val="1017"/>
        </w:numPr>
        <w:pStyle w:val="Compact"/>
      </w:pPr>
      <w:r>
        <w:t xml:space="preserve">3.3.1 La déduplication par clés d’unicité différenciées selon la nature du tiers</w:t>
      </w:r>
    </w:p>
    <w:p>
      <w:pPr>
        <w:numPr>
          <w:ilvl w:val="1"/>
          <w:numId w:val="1017"/>
        </w:numPr>
        <w:pStyle w:val="Compact"/>
      </w:pPr>
      <w:r>
        <w:t xml:space="preserve">3.3.2 L’exclusion des tiers déjà présents dans SPO</w:t>
      </w:r>
    </w:p>
    <w:p>
      <w:pPr>
        <w:numPr>
          <w:ilvl w:val="1"/>
          <w:numId w:val="1017"/>
        </w:numPr>
        <w:pStyle w:val="Compact"/>
      </w:pPr>
      <w:r>
        <w:t xml:space="preserve">3.3.3 La propagation vers les feuilles de sortie par numérotation séquentielle</w:t>
      </w:r>
    </w:p>
    <w:p>
      <w:pPr>
        <w:numPr>
          <w:ilvl w:val="0"/>
          <w:numId w:val="1014"/>
        </w:numPr>
        <w:pStyle w:val="Compact"/>
      </w:pPr>
      <w:r>
        <w:t xml:space="preserve">3.4 De la préparation à l’injection : procédure et contraintes techniques</w:t>
      </w:r>
    </w:p>
    <w:p>
      <w:pPr>
        <w:numPr>
          <w:ilvl w:val="1"/>
          <w:numId w:val="1018"/>
        </w:numPr>
        <w:pStyle w:val="Compact"/>
      </w:pPr>
      <w:r>
        <w:t xml:space="preserve">3.4.1 Génération et normalisation des fichiers d’import</w:t>
      </w:r>
    </w:p>
    <w:p>
      <w:pPr>
        <w:numPr>
          <w:ilvl w:val="1"/>
          <w:numId w:val="1018"/>
        </w:numPr>
        <w:pStyle w:val="Compact"/>
      </w:pPr>
      <w:r>
        <w:t xml:space="preserve">3.4.2 Le contournement par API : 872 requêtes PATCH pour les coordonnées des couples</w:t>
      </w:r>
    </w:p>
    <w:p>
      <w:pPr>
        <w:numPr>
          <w:ilvl w:val="0"/>
          <w:numId w:val="1014"/>
        </w:numPr>
        <w:pStyle w:val="Compact"/>
      </w:pPr>
      <w:r>
        <w:t xml:space="preserve">3.5 Traitement des cas particuliers et arbitrages</w:t>
      </w:r>
    </w:p>
    <w:p>
      <w:pPr>
        <w:numPr>
          <w:ilvl w:val="0"/>
          <w:numId w:val="1014"/>
        </w:numPr>
        <w:pStyle w:val="Compact"/>
      </w:pPr>
      <w:r>
        <w:t xml:space="preserve">3.6 Bilan de l’import et points de vigilance pour la suite</w:t>
      </w:r>
    </w:p>
    <w:p>
      <w:pPr>
        <w:pStyle w:val="FirstParagraph"/>
      </w:pPr>
      <w:r>
        <w:t xml:space="preserve">Ce chapitre détaille la reprise des tiers, c’est-à-dire des clients acquéreurs, depuis notre</w:t>
      </w:r>
      <w:r>
        <w:t xml:space="preserve"> </w:t>
      </w:r>
      <w:r>
        <w:t xml:space="preserve">CRM Vadimm vers le nouvel ERP du groupe. Conduite au second semestre, cette mission prolonge</w:t>
      </w:r>
      <w:r>
        <w:t xml:space="preserve"> </w:t>
      </w:r>
      <w:r>
        <w:t xml:space="preserve">directement le chantier exposé au chapitre précédent, et elle constitue le premier pas vers</w:t>
      </w:r>
      <w:r>
        <w:t xml:space="preserve"> </w:t>
      </w:r>
      <w:r>
        <w:t xml:space="preserve">l’interopérabilité entre l’ERP et le CRM que je n’avais pu qu’annoncer à la fin du premier</w:t>
      </w:r>
      <w:r>
        <w:t xml:space="preserve"> </w:t>
      </w:r>
      <w:r>
        <w:t xml:space="preserve">semestre : elle transfère le référentiel client, la synchronisation permanente sans double</w:t>
      </w:r>
      <w:r>
        <w:t xml:space="preserve"> </w:t>
      </w:r>
      <w:r>
        <w:t xml:space="preserve">saisie restant à construire. Elle en change</w:t>
      </w:r>
      <w:r>
        <w:t xml:space="preserve"> </w:t>
      </w:r>
      <w:r>
        <w:t xml:space="preserve">toutefois la nature : il ne s’agissait plus d’injecter des structures de gestion, opérations,</w:t>
      </w:r>
      <w:r>
        <w:t xml:space="preserve"> </w:t>
      </w:r>
      <w:r>
        <w:t xml:space="preserve">tranches et budgets, mais des personnes, avec ce que cela implique de risques de doublons et</w:t>
      </w:r>
      <w:r>
        <w:t xml:space="preserve"> </w:t>
      </w:r>
      <w:r>
        <w:t xml:space="preserve">d’exigence de qualité. J’y expose la conception du fichier de travail que j’ai construit</w:t>
      </w:r>
      <w:r>
        <w:t xml:space="preserve"> </w:t>
      </w:r>
      <w:r>
        <w:t xml:space="preserve">pour industrialiser cette reprise, les trois mécanismes algorithmiques sur lesquels il</w:t>
      </w:r>
      <w:r>
        <w:t xml:space="preserve"> </w:t>
      </w:r>
      <w:r>
        <w:t xml:space="preserve">repose, les contraintes techniques du format d’import de SPO et la manière dont je les ai</w:t>
      </w:r>
      <w:r>
        <w:t xml:space="preserve"> </w:t>
      </w:r>
      <w:r>
        <w:t xml:space="preserve">contournées, puis le bilan de l’import et les enseignements que j’en retire.</w:t>
      </w:r>
    </w:p>
    <w:bookmarkStart w:id="67" w:name="Xe361138e07d16e5763359e117cee853978abd72"/>
    <w:p>
      <w:pPr>
        <w:pStyle w:val="Heading2"/>
      </w:pPr>
      <w:r>
        <w:t xml:space="preserve">3.1 Contexte et enjeux de la reprise des tiers</w:t>
      </w:r>
    </w:p>
    <w:bookmarkStart w:id="65" w:name="X51dd8a6350dcc959e6f14a0876a7e4c29aa0282"/>
    <w:p>
      <w:pPr>
        <w:pStyle w:val="Heading3"/>
      </w:pPr>
      <w:r>
        <w:t xml:space="preserve">3.1.1 Du CRM Vadimm à l’ERP SPO : le périmètre des données clients</w:t>
      </w:r>
    </w:p>
    <w:p>
      <w:pPr>
        <w:pStyle w:val="FirstParagraph"/>
      </w:pPr>
      <w:r>
        <w:t xml:space="preserve">Le remplacement de l’ERP historique du groupe par SPO, décrit au chapitre 2, s’est fait par lots</w:t>
      </w:r>
      <w:r>
        <w:t xml:space="preserve"> </w:t>
      </w:r>
      <w:r>
        <w:t xml:space="preserve">successifs. Après la création des opérations immobilières et de leurs tranches, il restait à</w:t>
      </w:r>
      <w:r>
        <w:t xml:space="preserve"> </w:t>
      </w:r>
      <w:r>
        <w:t xml:space="preserve">reprendre les données commerciales, et en premier lieu les clients. Dans SPO, ces clients sont</w:t>
      </w:r>
      <w:r>
        <w:t xml:space="preserve"> </w:t>
      </w:r>
      <w:r>
        <w:t xml:space="preserve">désignés par le terme générique de</w:t>
      </w:r>
      <w:r>
        <w:t xml:space="preserve"> </w:t>
      </w:r>
      <w:r>
        <w:rPr>
          <w:iCs/>
          <w:i/>
        </w:rPr>
        <w:t xml:space="preserve">tiers</w:t>
      </w:r>
      <w:r>
        <w:t xml:space="preserve"> </w:t>
      </w:r>
      <w:r>
        <w:t xml:space="preserve">: la même entité de base sert à représenter un</w:t>
      </w:r>
      <w:r>
        <w:t xml:space="preserve"> </w:t>
      </w:r>
      <w:r>
        <w:t xml:space="preserve">acquéreur particulier comme une société, et se voit ensuite attribuer un ou plusieurs rôles.</w:t>
      </w:r>
      <w:r>
        <w:t xml:space="preserve"> </w:t>
      </w:r>
      <w:r>
        <w:t xml:space="preserve">Reprendre les tiers signifiait donc alimenter le socle sur lequel toute la gestion commerciale</w:t>
      </w:r>
      <w:r>
        <w:t xml:space="preserve"> </w:t>
      </w:r>
      <w:r>
        <w:t xml:space="preserve">allait s’appuyer.</w:t>
      </w:r>
    </w:p>
    <w:p>
      <w:pPr>
        <w:pStyle w:val="BodyText"/>
      </w:pPr>
      <w:r>
        <w:t xml:space="preserve">Le périmètre m’a été fixé de la manière suivante : importer dans SPO l’ensemble des clients</w:t>
      </w:r>
      <w:r>
        <w:t xml:space="preserve"> </w:t>
      </w:r>
      <w:r>
        <w:t xml:space="preserve">ayant déjà acheté un bien chez Angelotti. La matière première provenait de notre CRM (</w:t>
      </w:r>
      <w:r>
        <w:rPr>
          <w:iCs/>
          <w:i/>
        </w:rPr>
        <w:t xml:space="preserve">Customer</w:t>
      </w:r>
      <w:r>
        <w:rPr>
          <w:iCs/>
          <w:i/>
        </w:rPr>
        <w:t xml:space="preserve"> </w:t>
      </w:r>
      <w:r>
        <w:rPr>
          <w:iCs/>
          <w:i/>
        </w:rPr>
        <w:t xml:space="preserve">Relationship Management</w:t>
      </w:r>
      <w:r>
        <w:t xml:space="preserve">, l’outil de gestion de la relation client) Vadimm, sous la forme de</w:t>
      </w:r>
      <w:r>
        <w:t xml:space="preserve"> </w:t>
      </w:r>
      <w:r>
        <w:t xml:space="preserve">deux extractions complémentaires : celle des ventes enregistrées, qui porte 1 557 lignes, et</w:t>
      </w:r>
      <w:r>
        <w:t xml:space="preserve"> </w:t>
      </w:r>
      <w:r>
        <w:t xml:space="preserve">celle des coordonnées de contact des acquéreurs et de leurs co-acquéreurs, qui en porte 1 602.</w:t>
      </w:r>
      <w:r>
        <w:t xml:space="preserve"> </w:t>
      </w:r>
      <w:r>
        <w:t xml:space="preserve">Les deux extractions ne se recouvrent donc pas exactement, et l’écart de 45 lignes entre elles</w:t>
      </w:r>
      <w:r>
        <w:t xml:space="preserve"> </w:t>
      </w:r>
      <w:r>
        <w:t xml:space="preserve">n’est pas documenté dans les fichiers sources ; il s’explique vraisemblablement par des contacts</w:t>
      </w:r>
      <w:r>
        <w:t xml:space="preserve"> </w:t>
      </w:r>
      <w:r>
        <w:t xml:space="preserve">renseignés sans vente correspondante. J’ai retenu le plus large des deux totaux, pour ne perdre</w:t>
      </w:r>
      <w:r>
        <w:t xml:space="preserve"> </w:t>
      </w:r>
      <w:r>
        <w:t xml:space="preserve">aucun acquéreur en entrée de chaîne : le périmètre de travail compte</w:t>
      </w:r>
      <w:r>
        <w:t xml:space="preserve"> </w:t>
      </w:r>
      <w:r>
        <w:rPr>
          <w:bCs/>
          <w:b/>
        </w:rPr>
        <w:t xml:space="preserve">1 602 lignes</w:t>
      </w:r>
      <w:r>
        <w:t xml:space="preserve">, et c’est</w:t>
      </w:r>
      <w:r>
        <w:t xml:space="preserve"> </w:t>
      </w:r>
      <w:r>
        <w:t xml:space="preserve">de ce total que part toute la chaîne de traitement.</w:t>
      </w:r>
    </w:p>
    <w:p>
      <w:pPr>
        <w:pStyle w:val="BodyText"/>
      </w:pPr>
      <w:r>
        <w:t xml:space="preserve">La difficulté ne tenait pas au volume. Elle tenait à la nature même de la donnée. Concrètement,</w:t>
      </w:r>
      <w:r>
        <w:t xml:space="preserve"> </w:t>
      </w:r>
      <w:r>
        <w:t xml:space="preserve">une ligne de l’extraction Vadimm ne décrit pas un client, elle décrit une vente. Un même</w:t>
      </w:r>
      <w:r>
        <w:t xml:space="preserve"> </w:t>
      </w:r>
      <w:r>
        <w:t xml:space="preserve">acquéreur qui a acheté trois lots apparaît donc trois fois, et rien dans le fichier ne le</w:t>
      </w:r>
      <w:r>
        <w:t xml:space="preserve"> </w:t>
      </w:r>
      <w:r>
        <w:t xml:space="preserve">signale. Transformer un fichier de ventes en un référentiel de personnes suppose de reconstituer</w:t>
      </w:r>
      <w:r>
        <w:t xml:space="preserve"> </w:t>
      </w:r>
      <w:r>
        <w:t xml:space="preserve">l’identité de chacune, ce que le système source ne faisait pas à ma place.</w:t>
      </w:r>
    </w:p>
    <w:bookmarkEnd w:id="65"/>
    <w:bookmarkStart w:id="66" w:name="lenjeu-central-créer-sans-dupliquer"/>
    <w:p>
      <w:pPr>
        <w:pStyle w:val="Heading3"/>
      </w:pPr>
      <w:r>
        <w:t xml:space="preserve">3.1.2 L’enjeu central : créer sans dupliquer</w:t>
      </w:r>
    </w:p>
    <w:p>
      <w:pPr>
        <w:pStyle w:val="FirstParagraph"/>
      </w:pPr>
      <w:r>
        <w:t xml:space="preserve">L’enjeu de cette reprise se résume à une contrainte simple à énoncer et difficile à tenir :</w:t>
      </w:r>
      <w:r>
        <w:t xml:space="preserve"> </w:t>
      </w:r>
      <w:r>
        <w:t xml:space="preserve">créer chaque client une fois et une seule. Deux sources de duplication se cumulaient, et</w:t>
      </w:r>
      <w:r>
        <w:t xml:space="preserve"> </w:t>
      </w:r>
      <w:r>
        <w:t xml:space="preserve">elles n’appelaient pas la même parade.</w:t>
      </w:r>
    </w:p>
    <w:p>
      <w:pPr>
        <w:pStyle w:val="BodyText"/>
      </w:pPr>
      <w:r>
        <w:t xml:space="preserve">La première est interne au fichier. Comme chaque ligne correspond à une vente, un client</w:t>
      </w:r>
      <w:r>
        <w:t xml:space="preserve"> </w:t>
      </w:r>
      <w:r>
        <w:t xml:space="preserve">fidèle est présent autant de fois qu’il a acheté. Importer le fichier tel quel aurait créé</w:t>
      </w:r>
      <w:r>
        <w:t xml:space="preserve"> </w:t>
      </w:r>
      <w:r>
        <w:t xml:space="preserve">autant de fiches que d’achats, avec des conséquences directes sur la gestion : un même</w:t>
      </w:r>
      <w:r>
        <w:t xml:space="preserve"> </w:t>
      </w:r>
      <w:r>
        <w:t xml:space="preserve">acquéreur aurait été rattaché à plusieurs identifiants, et il serait devenu impossible de</w:t>
      </w:r>
      <w:r>
        <w:t xml:space="preserve"> </w:t>
      </w:r>
      <w:r>
        <w:t xml:space="preserve">reconstituer son historique ou de lui adresser un courrier unique.</w:t>
      </w:r>
    </w:p>
    <w:p>
      <w:pPr>
        <w:pStyle w:val="BodyText"/>
      </w:pPr>
      <w:r>
        <w:t xml:space="preserve">La seconde est externe. Au moment de préparer l’import, SPO n’était pas vide : environ</w:t>
      </w:r>
      <w:r>
        <w:t xml:space="preserve"> </w:t>
      </w:r>
      <w:r>
        <w:t xml:space="preserve">13 000 tiers y avaient déjà été créés, par saisie ou par d’autres canaux d’alimentation.</w:t>
      </w:r>
      <w:r>
        <w:t xml:space="preserve"> </w:t>
      </w:r>
      <w:r>
        <w:t xml:space="preserve">Injecter ces 1 602 lignes sans les confronter à cet existant aurait produit des doublons</w:t>
      </w:r>
      <w:r>
        <w:t xml:space="preserve"> </w:t>
      </w:r>
      <w:r>
        <w:t xml:space="preserve">d’une autre nature, plus insidieux parce qu’ils auraient opposé une fiche importée et une</w:t>
      </w:r>
      <w:r>
        <w:t xml:space="preserve"> </w:t>
      </w:r>
      <w:r>
        <w:t xml:space="preserve">fiche saisie, toutes deux légitimes en apparence.</w:t>
      </w:r>
    </w:p>
    <w:p>
      <w:pPr>
        <w:pStyle w:val="BodyText"/>
      </w:pPr>
      <w:r>
        <w:t xml:space="preserve">Face à cette double contrainte, une reprise manuelle était exclue. Vérifier ligne à ligne</w:t>
      </w:r>
      <w:r>
        <w:t xml:space="preserve"> </w:t>
      </w:r>
      <w:r>
        <w:t xml:space="preserve">qu’un acquéreur n’existe ni ailleurs dans le fichier ni déjà dans un référentiel de 13 000</w:t>
      </w:r>
      <w:r>
        <w:t xml:space="preserve"> </w:t>
      </w:r>
      <w:r>
        <w:t xml:space="preserve">tiers représentait un volume de contrôles incompatible avec les délais, et surtout un</w:t>
      </w:r>
      <w:r>
        <w:t xml:space="preserve"> </w:t>
      </w:r>
      <w:r>
        <w:t xml:space="preserve">risque d’erreur humaine que rien n’aurait permis de tracer ensuite. J’ai donc fait le choix</w:t>
      </w:r>
      <w:r>
        <w:t xml:space="preserve"> </w:t>
      </w:r>
      <w:r>
        <w:t xml:space="preserve">de construire un fichier de travail qui automatise entièrement ces contrôles par formules,</w:t>
      </w:r>
      <w:r>
        <w:t xml:space="preserve"> </w:t>
      </w:r>
      <w:r>
        <w:t xml:space="preserve">de sorte que la décision d’importer ou non une ligne soit calculée et non prise au cas par</w:t>
      </w:r>
      <w:r>
        <w:t xml:space="preserve"> </w:t>
      </w:r>
      <w:r>
        <w:t xml:space="preserve">cas.</w:t>
      </w:r>
    </w:p>
    <w:bookmarkEnd w:id="66"/>
    <w:bookmarkEnd w:id="67"/>
    <w:bookmarkStart w:id="73" w:name="X874fc18de8a1eecd350e55b90219d3d5272c81c"/>
    <w:p>
      <w:pPr>
        <w:pStyle w:val="Heading2"/>
      </w:pPr>
      <w:r>
        <w:t xml:space="preserve">3.2 Conception du fichier de travail : une chaîne de traitement pilotée par formules</w:t>
      </w:r>
    </w:p>
    <w:bookmarkStart w:id="71" w:name="Xb36129c71efebcaf52db8a3f0db2a59757cf358"/>
    <w:p>
      <w:pPr>
        <w:pStyle w:val="Heading3"/>
      </w:pPr>
      <w:r>
        <w:t xml:space="preserve">3.2.1 Une architecture en trois temps : sources, feuille pivot, feuilles de sortie</w:t>
      </w:r>
    </w:p>
    <w:p>
      <w:pPr>
        <w:pStyle w:val="FirstParagraph"/>
      </w:pPr>
      <w:r>
        <w:t xml:space="preserve">Le fichier que j’ai conçu ne se présente pas comme un tableur de saisie mais comme une</w:t>
      </w:r>
      <w:r>
        <w:t xml:space="preserve"> </w:t>
      </w:r>
      <w:r>
        <w:t xml:space="preserve">chaîne de traitement automatique, dans la lignée des maquettes d’injection que j’avais</w:t>
      </w:r>
      <w:r>
        <w:t xml:space="preserve"> </w:t>
      </w:r>
      <w:r>
        <w:t xml:space="preserve">construites au premier semestre. Les données entrent d’un côté sous leur forme brute et</w:t>
      </w:r>
      <w:r>
        <w:t xml:space="preserve"> </w:t>
      </w:r>
      <w:r>
        <w:t xml:space="preserve">ressortent de l’autre sous la forme exacte attendue par SPO, sans qu’aucune donnée soit</w:t>
      </w:r>
      <w:r>
        <w:t xml:space="preserve"> </w:t>
      </w:r>
      <w:r>
        <w:t xml:space="preserve">recopiée à la main entre les deux. Cette architecture se décompose en trois étages, que</w:t>
      </w:r>
      <w:r>
        <w:t xml:space="preserve"> </w:t>
      </w:r>
      <w:r>
        <w:t xml:space="preserve">présente la Figure 3.1.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Les feuilles sources</w:t>
      </w:r>
      <w:r>
        <w:t xml:space="preserve"> </w:t>
      </w:r>
      <w:r>
        <w:t xml:space="preserve">: trois feuilles en lecture seule qui reçoivent les extractions</w:t>
      </w:r>
      <w:r>
        <w:t xml:space="preserve"> </w:t>
      </w:r>
      <w:r>
        <w:t xml:space="preserve">telles quelles. La feuille</w:t>
      </w:r>
      <w:r>
        <w:t xml:space="preserve"> </w:t>
      </w:r>
      <w:r>
        <w:rPr>
          <w:rStyle w:val="VerbatimChar"/>
        </w:rPr>
        <w:t xml:space="preserve">VADIMM</w:t>
      </w:r>
      <w:r>
        <w:t xml:space="preserve"> </w:t>
      </w:r>
      <w:r>
        <w:t xml:space="preserve">porte les 1 557 lignes de ventes reprises du CRM, la</w:t>
      </w:r>
      <w:r>
        <w:t xml:space="preserve"> </w:t>
      </w:r>
      <w:r>
        <w:t xml:space="preserve">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 </w:t>
      </w:r>
      <w:r>
        <w:t xml:space="preserve">les 1 602 lignes de coordonnées des acquéreurs et</w:t>
      </w:r>
      <w:r>
        <w:t xml:space="preserve"> </w:t>
      </w:r>
      <w:r>
        <w:t xml:space="preserve">co-acquéreurs, et la feuille</w:t>
      </w:r>
      <w:r>
        <w:t xml:space="preserve"> </w:t>
      </w:r>
      <w:r>
        <w:rPr>
          <w:rStyle w:val="VerbatimChar"/>
        </w:rPr>
        <w:t xml:space="preserve">SPO</w:t>
      </w:r>
      <w:r>
        <w:t xml:space="preserve"> </w:t>
      </w:r>
      <w:r>
        <w:t xml:space="preserve">l’extraction des tiers déjà existants dans l’ERP, qui</w:t>
      </w:r>
      <w:r>
        <w:t xml:space="preserve"> </w:t>
      </w:r>
      <w:r>
        <w:t xml:space="preserve">sert de référentiel de comparaison.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La feuille pivot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t xml:space="preserve"> </w:t>
      </w:r>
      <w:r>
        <w:t xml:space="preserve">: c’est le cœur du dispositif. Elle reçoit</w:t>
      </w:r>
      <w:r>
        <w:t xml:space="preserve"> </w:t>
      </w:r>
      <w:r>
        <w:t xml:space="preserve">l’intégralité des lignes issues des sources et y adjoint les colonnes de calcul qui</w:t>
      </w:r>
      <w:r>
        <w:t xml:space="preserve"> </w:t>
      </w:r>
      <w:r>
        <w:t xml:space="preserve">déterminent, pour chaque ligne, si elle correspond à un tiers nouveau, à un doublon</w:t>
      </w:r>
      <w:r>
        <w:t xml:space="preserve"> </w:t>
      </w:r>
      <w:r>
        <w:t xml:space="preserve">interne ou à un tiers déjà présent dans SPO.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Les six feuilles de sortie</w:t>
      </w:r>
      <w:r>
        <w:t xml:space="preserve"> </w:t>
      </w:r>
      <w:r>
        <w:t xml:space="preserve">: une feuille par fichier d’import attendu par SPO,</w:t>
      </w:r>
      <w:r>
        <w:t xml:space="preserve"> </w:t>
      </w:r>
      <w:r>
        <w:t xml:space="preserve">entièrement générée par formules à partir de la feuille pivot, et destinée à être</w:t>
      </w:r>
      <w:r>
        <w:t xml:space="preserve"> </w:t>
      </w:r>
      <w:r>
        <w:t xml:space="preserve">exportée en CSV.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a chaîne de traitement à trois étages du fichier de travail" title="" id="69" name="Picture"/>
            <a:graphic>
              <a:graphicData uri="http://schemas.openxmlformats.org/drawingml/2006/picture">
                <pic:pic>
                  <pic:nvPicPr>
                    <pic:cNvPr descr="figures/fig_3_1_chaine_traitemen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3.1 – La chaîne de traitement à trois étages du fichier de travail</w:t>
      </w:r>
    </w:p>
    <w:p>
      <w:pPr>
        <w:pStyle w:val="BodyText"/>
      </w:pPr>
      <w:r>
        <w:t xml:space="preserve">Ce découpage répond à une règle que je me suis imposée dès la conception, et qui figure en</w:t>
      </w:r>
      <w:r>
        <w:t xml:space="preserve"> </w:t>
      </w:r>
      <w:r>
        <w:t xml:space="preserve">tête de la note de procédure que j’ai rédigée pour l’équipe : on ne modifie jamais</w:t>
      </w:r>
      <w:r>
        <w:t xml:space="preserve"> </w:t>
      </w:r>
      <w:r>
        <w:t xml:space="preserve">directement une feuille de sortie. Ces feuilles étant intégralement calculées, toute</w:t>
      </w:r>
      <w:r>
        <w:t xml:space="preserve"> </w:t>
      </w:r>
      <w:r>
        <w:t xml:space="preserve">correction saisie dedans serait écrasée au recalcul suivant, sans laisser de trace. Toute</w:t>
      </w:r>
      <w:r>
        <w:t xml:space="preserve"> </w:t>
      </w:r>
      <w:r>
        <w:t xml:space="preserve">intervention passe donc par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ou par la feuille de coordonnées. Cette</w:t>
      </w:r>
      <w:r>
        <w:t xml:space="preserve"> </w:t>
      </w:r>
      <w:r>
        <w:t xml:space="preserve">discipline peut sembler contraignante à l’usage, mais elle est la contrepartie</w:t>
      </w:r>
      <w:r>
        <w:t xml:space="preserve"> </w:t>
      </w:r>
      <w:r>
        <w:t xml:space="preserve">indispensable de l’automatisation : c’est elle qui garantit qu’à tout moment, le contenu</w:t>
      </w:r>
      <w:r>
        <w:t xml:space="preserve"> </w:t>
      </w:r>
      <w:r>
        <w:t xml:space="preserve">des fichiers d’import est bien le résultat des règles décrites, et non d’une retouche</w:t>
      </w:r>
      <w:r>
        <w:t xml:space="preserve"> </w:t>
      </w:r>
      <w:r>
        <w:t xml:space="preserve">ponctuelle oubliée depuis.</w:t>
      </w:r>
    </w:p>
    <w:bookmarkEnd w:id="71"/>
    <w:bookmarkStart w:id="72" w:name="Xc561d59e2959c4252bdc762a8b3c6099541ba75"/>
    <w:p>
      <w:pPr>
        <w:pStyle w:val="Heading3"/>
      </w:pPr>
      <w:r>
        <w:t xml:space="preserve">3.2.2 Le modèle de données des tiers dans SPO : couples, personnes physiques, personnes morales</w:t>
      </w:r>
    </w:p>
    <w:p>
      <w:pPr>
        <w:pStyle w:val="FirstParagraph"/>
      </w:pPr>
      <w:r>
        <w:t xml:space="preserve">Avant de pouvoir automatiser quoi que ce soit, il fallait comprendre comment SPO représente</w:t>
      </w:r>
      <w:r>
        <w:t xml:space="preserve"> </w:t>
      </w:r>
      <w:r>
        <w:t xml:space="preserve">un tiers. Cette phase d’appropriation a repris la méthode que j’avais déjà éprouvée sur les</w:t>
      </w:r>
      <w:r>
        <w:t xml:space="preserve"> </w:t>
      </w:r>
      <w:r>
        <w:t xml:space="preserve">opérations : lecture de la documentation de l’éditeur, puis tests unitaires de création</w:t>
      </w:r>
      <w:r>
        <w:t xml:space="preserve"> </w:t>
      </w:r>
      <w:r>
        <w:t xml:space="preserve">pour valider empiriquement les champs réellement obligatoires.</w:t>
      </w:r>
    </w:p>
    <w:p>
      <w:pPr>
        <w:pStyle w:val="BodyText"/>
      </w:pPr>
      <w:r>
        <w:t xml:space="preserve">Deux caractéristiques du modèle ont structuré tout le reste du travail.</w:t>
      </w:r>
    </w:p>
    <w:p>
      <w:pPr>
        <w:pStyle w:val="BodyText"/>
      </w:pPr>
      <w:r>
        <w:t xml:space="preserve">La première est que SPO distingue trois</w:t>
      </w:r>
      <w:r>
        <w:t xml:space="preserve"> </w:t>
      </w:r>
      <w:r>
        <w:rPr>
          <w:bCs/>
          <w:b/>
        </w:rPr>
        <w:t xml:space="preserve">natures</w:t>
      </w:r>
      <w:r>
        <w:t xml:space="preserve"> </w:t>
      </w:r>
      <w:r>
        <w:t xml:space="preserve">de tiers, et que cette nature commande</w:t>
      </w:r>
      <w:r>
        <w:t xml:space="preserve"> </w:t>
      </w:r>
      <w:r>
        <w:t xml:space="preserve">la manière dont l’identité est portée. Une</w:t>
      </w:r>
      <w:r>
        <w:t xml:space="preserve"> </w:t>
      </w:r>
      <w:r>
        <w:rPr>
          <w:bCs/>
          <w:b/>
        </w:rPr>
        <w:t xml:space="preserve">personne morale</w:t>
      </w:r>
      <w:r>
        <w:t xml:space="preserve"> </w:t>
      </w:r>
      <w:r>
        <w:t xml:space="preserve">est une société, identifiée</w:t>
      </w:r>
      <w:r>
        <w:t xml:space="preserve"> </w:t>
      </w:r>
      <w:r>
        <w:t xml:space="preserve">par sa raison sociale et son SIRET (le numéro d’identification à quatorze chiffres d’un</w:t>
      </w:r>
      <w:r>
        <w:t xml:space="preserve"> </w:t>
      </w:r>
      <w:r>
        <w:t xml:space="preserve">établissement). Une</w:t>
      </w:r>
      <w:r>
        <w:t xml:space="preserve"> </w:t>
      </w:r>
      <w:r>
        <w:rPr>
          <w:bCs/>
          <w:b/>
        </w:rPr>
        <w:t xml:space="preserve">personne physique</w:t>
      </w:r>
      <w:r>
        <w:t xml:space="preserve"> </w:t>
      </w:r>
      <w:r>
        <w:t xml:space="preserve">est un individu, identifié par son nom, son</w:t>
      </w:r>
      <w:r>
        <w:t xml:space="preserve"> </w:t>
      </w:r>
      <w:r>
        <w:t xml:space="preserve">prénom et sa date de naissance. Un</w:t>
      </w:r>
      <w:r>
        <w:t xml:space="preserve"> </w:t>
      </w:r>
      <w:r>
        <w:rPr>
          <w:bCs/>
          <w:b/>
        </w:rPr>
        <w:t xml:space="preserve">couple</w:t>
      </w:r>
      <w:r>
        <w:t xml:space="preserve"> </w:t>
      </w:r>
      <w:r>
        <w:t xml:space="preserve">est une entité particulière : le tiers</w:t>
      </w:r>
      <w:r>
        <w:t xml:space="preserve"> </w:t>
      </w:r>
      <w:r>
        <w:t xml:space="preserve">lui-même n’est ni l’un ni l’autre des deux conjoints, il les regroupe, et les deux</w:t>
      </w:r>
      <w:r>
        <w:t xml:space="preserve"> </w:t>
      </w:r>
      <w:r>
        <w:t xml:space="preserve">personnes qui le composent sont enregistrées comme ses</w:t>
      </w:r>
      <w:r>
        <w:t xml:space="preserve"> </w:t>
      </w:r>
      <w:r>
        <w:rPr>
          <w:iCs/>
          <w:i/>
        </w:rPr>
        <w:t xml:space="preserve">représentants</w:t>
      </w:r>
      <w:r>
        <w:t xml:space="preserve">. Cette troisième</w:t>
      </w:r>
      <w:r>
        <w:t xml:space="preserve"> </w:t>
      </w:r>
      <w:r>
        <w:t xml:space="preserve">nature est de loin la plus fréquente dans notre activité, puisque l’essentiel de nos ventes</w:t>
      </w:r>
      <w:r>
        <w:t xml:space="preserve"> </w:t>
      </w:r>
      <w:r>
        <w:t xml:space="preserve">se fait à des couples acquéreurs.</w:t>
      </w:r>
    </w:p>
    <w:p>
      <w:pPr>
        <w:pStyle w:val="BodyText"/>
      </w:pPr>
      <w:r>
        <w:t xml:space="preserve">La seconde caractéristique est qu’un tiers n’est pas un enregistrement unique mais un</w:t>
      </w:r>
      <w:r>
        <w:t xml:space="preserve"> </w:t>
      </w:r>
      <w:r>
        <w:t xml:space="preserve">ensemble d’objets liés. La fiche principale ne porte que l’identité ; l’adresse, le</w:t>
      </w:r>
      <w:r>
        <w:t xml:space="preserve"> </w:t>
      </w:r>
      <w:r>
        <w:t xml:space="preserve">courriel, le téléphone, les représentants et les rôles sont autant d’objets rattachés, avec</w:t>
      </w:r>
      <w:r>
        <w:t xml:space="preserve"> </w:t>
      </w:r>
      <w:r>
        <w:t xml:space="preserve">chacun son propre fichier d’import. La Figure 2.2, présentée au chapitre précédent, montre</w:t>
      </w:r>
      <w:r>
        <w:t xml:space="preserve"> </w:t>
      </w:r>
      <w:r>
        <w:t xml:space="preserve">précisément l’interface du module DirectAPI avec la ressource « Tiers » sélectionnée : on y</w:t>
      </w:r>
      <w:r>
        <w:t xml:space="preserve"> </w:t>
      </w:r>
      <w:r>
        <w:t xml:space="preserve">lit directement cette décomposition, puisque l’écran propose un emplacement de fichier</w:t>
      </w:r>
      <w:r>
        <w:t xml:space="preserve"> </w:t>
      </w:r>
      <w:r>
        <w:t xml:space="preserve">distinct par objet rattaché. Six d’entre eux correspondent aux six feuilles de sortie de mon</w:t>
      </w:r>
      <w:r>
        <w:t xml:space="preserve"> </w:t>
      </w:r>
      <w:r>
        <w:t xml:space="preserve">fichier, les deux autres, les RIB et les sites web, n’étant pas alimentés par cette reprise.</w:t>
      </w:r>
    </w:p>
    <w:p>
      <w:pPr>
        <w:pStyle w:val="BodyText"/>
      </w:pPr>
      <w:r>
        <w:t xml:space="preserve">C’est cette décomposition qui explique pourquoi mon fichier produit six feuilles de sortie</w:t>
      </w:r>
      <w:r>
        <w:t xml:space="preserve"> </w:t>
      </w:r>
      <w:r>
        <w:t xml:space="preserve">et non une seule. Elle explique aussi une asymétrie qui reviendra plus loin : les adresses,</w:t>
      </w:r>
      <w:r>
        <w:t xml:space="preserve"> </w:t>
      </w:r>
      <w:r>
        <w:t xml:space="preserve">courriels et téléphones se rattachent directement à une personne physique ou morale, mais</w:t>
      </w:r>
      <w:r>
        <w:t xml:space="preserve"> </w:t>
      </w:r>
      <w:r>
        <w:t xml:space="preserve">pour un couple, ils se rattachent aux représentants. Cette différence de traitement, qui</w:t>
      </w:r>
      <w:r>
        <w:t xml:space="preserve"> </w:t>
      </w:r>
      <w:r>
        <w:t xml:space="preserve">paraît anodine sur le papier, s’est révélée être la principale contrainte technique de</w:t>
      </w:r>
      <w:r>
        <w:t xml:space="preserve"> </w:t>
      </w:r>
      <w:r>
        <w:t xml:space="preserve">l’import.</w:t>
      </w:r>
    </w:p>
    <w:bookmarkEnd w:id="72"/>
    <w:bookmarkEnd w:id="73"/>
    <w:bookmarkStart w:id="83" w:name="les-trois-mécanismes-algorithmiques"/>
    <w:p>
      <w:pPr>
        <w:pStyle w:val="Heading2"/>
      </w:pPr>
      <w:r>
        <w:t xml:space="preserve">3.3 Les trois mécanismes algorithmiques</w:t>
      </w:r>
    </w:p>
    <w:p>
      <w:pPr>
        <w:pStyle w:val="FirstParagraph"/>
      </w:pPr>
      <w:r>
        <w:t xml:space="preserve">La feuille pivot repose sur trois mécanismes qui s’enchaînent : d’abord identifier les</w:t>
      </w:r>
      <w:r>
        <w:t xml:space="preserve"> </w:t>
      </w:r>
      <w:r>
        <w:t xml:space="preserve">doublons internes, ensuite écarter les tiers déjà créés dans SPO, enfin distribuer les</w:t>
      </w:r>
      <w:r>
        <w:t xml:space="preserve"> </w:t>
      </w:r>
      <w:r>
        <w:t xml:space="preserve">lignes retenues vers les six feuilles de sortie. Ces trois mécanismes sont ce qui distingue</w:t>
      </w:r>
      <w:r>
        <w:t xml:space="preserve"> </w:t>
      </w:r>
      <w:r>
        <w:t xml:space="preserve">un fichier de mise en forme d’un outil de reprise, puisqu’ils déplacent la décision</w:t>
      </w:r>
      <w:r>
        <w:t xml:space="preserve"> </w:t>
      </w:r>
      <w:r>
        <w:t xml:space="preserve">d’importer une ligne de l’opérateur vers une règle écrite.</w:t>
      </w:r>
    </w:p>
    <w:bookmarkStart w:id="74" w:name="X25567ac3b9c165f27b3c00e936fcd14508ffd86"/>
    <w:p>
      <w:pPr>
        <w:pStyle w:val="Heading3"/>
      </w:pPr>
      <w:r>
        <w:t xml:space="preserve">3.3.1 La déduplication par clés d’unicité différenciées selon la nature du tiers</w:t>
      </w:r>
    </w:p>
    <w:p>
      <w:pPr>
        <w:pStyle w:val="FirstParagraph"/>
      </w:pPr>
      <w:r>
        <w:t xml:space="preserve">Dédupliquer suppose de répondre d’abord à une question qui n’est pas technique : à partir de</w:t>
      </w:r>
      <w:r>
        <w:t xml:space="preserve"> </w:t>
      </w:r>
      <w:r>
        <w:t xml:space="preserve">quoi décide-t-on que deux lignes désignent la même personne ? C’est le point sur lequel</w:t>
      </w:r>
      <w:r>
        <w:t xml:space="preserve"> </w:t>
      </w:r>
      <w:r>
        <w:t xml:space="preserve">j’ai le plus hésité, et celui qui commande la qualité de tout le résultat.</w:t>
      </w:r>
    </w:p>
    <w:p>
      <w:pPr>
        <w:pStyle w:val="BodyText"/>
      </w:pPr>
      <w:r>
        <w:t xml:space="preserve">Une clé unique appliquée à l’ensemble du fichier ne pouvait pas convenir, précisément parce</w:t>
      </w:r>
      <w:r>
        <w:t xml:space="preserve"> </w:t>
      </w:r>
      <w:r>
        <w:t xml:space="preserve">que les trois natures de tiers ne s’identifient pas de la même façon. Deux sociétés peuvent</w:t>
      </w:r>
      <w:r>
        <w:t xml:space="preserve"> </w:t>
      </w:r>
      <w:r>
        <w:t xml:space="preserve">porter des raisons sociales très proches sans être la même entité, alors qu’il devient très</w:t>
      </w:r>
      <w:r>
        <w:t xml:space="preserve"> </w:t>
      </w:r>
      <w:r>
        <w:t xml:space="preserve">improbable que deux lignes partageant nom, prénom, date de naissance et adresse désignent</w:t>
      </w:r>
      <w:r>
        <w:t xml:space="preserve"> </w:t>
      </w:r>
      <w:r>
        <w:t xml:space="preserve">deux personnes distinctes. J’ai</w:t>
      </w:r>
      <w:r>
        <w:t xml:space="preserve"> </w:t>
      </w:r>
      <w:r>
        <w:t xml:space="preserve">donc retenu</w:t>
      </w:r>
      <w:r>
        <w:t xml:space="preserve"> </w:t>
      </w:r>
      <w:r>
        <w:rPr>
          <w:bCs/>
          <w:b/>
        </w:rPr>
        <w:t xml:space="preserve">trois clés d’unicité distinctes</w:t>
      </w:r>
      <w:r>
        <w:t xml:space="preserve">, une par nature, calculées chacune dans sa</w:t>
      </w:r>
      <w:r>
        <w:t xml:space="preserve"> </w:t>
      </w:r>
      <w:r>
        <w:t xml:space="preserve">propre colonne de la feuille pivot 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Pour un couple</w:t>
      </w:r>
      <w:r>
        <w:t xml:space="preserve"> </w:t>
      </w:r>
      <w:r>
        <w:t xml:space="preserve">: le nom et le prénom de l’acquéreur principal, désigné ADV dans nos</w:t>
      </w:r>
      <w:r>
        <w:t xml:space="preserve"> </w:t>
      </w:r>
      <w:r>
        <w:t xml:space="preserve">extractions du nom du dossier de vente auquel il est rattaché, complétés du nom et du</w:t>
      </w:r>
      <w:r>
        <w:t xml:space="preserve"> </w:t>
      </w:r>
      <w:r>
        <w:t xml:space="preserve">prénom du co-acquéreur, désigné CO. C’est la combinaison des deux identités qui fait l’unicité, et non chacune prise</w:t>
      </w:r>
      <w:r>
        <w:t xml:space="preserve"> </w:t>
      </w:r>
      <w:r>
        <w:t xml:space="preserve">isolément.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Pour une personne physique</w:t>
      </w:r>
      <w:r>
        <w:t xml:space="preserve"> </w:t>
      </w:r>
      <w:r>
        <w:t xml:space="preserve">: le nom, le prénom, la date de naissance et l’adresse.</w:t>
      </w:r>
      <w:r>
        <w:t xml:space="preserve"> </w:t>
      </w:r>
      <w:r>
        <w:t xml:space="preserve">La date de naissance sépare les homonymes, et l’adresse ajoute un second point de</w:t>
      </w:r>
      <w:r>
        <w:t xml:space="preserve"> </w:t>
      </w:r>
      <w:r>
        <w:t xml:space="preserve">comparaison.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Pour une personne morale</w:t>
      </w:r>
      <w:r>
        <w:t xml:space="preserve"> </w:t>
      </w:r>
      <w:r>
        <w:t xml:space="preserve">: la raison sociale et le SIRET. Le SIRET est l’identifiant</w:t>
      </w:r>
      <w:r>
        <w:t xml:space="preserve"> </w:t>
      </w:r>
      <w:r>
        <w:t xml:space="preserve">légal de l’établissement, et la raison sociale le double lorsqu’il fait défaut.</w:t>
      </w:r>
    </w:p>
    <w:p>
      <w:pPr>
        <w:pStyle w:val="FirstParagraph"/>
      </w:pPr>
      <w:r>
        <w:t xml:space="preserve">Chaque colonne calcule un</w:t>
      </w:r>
      <w:r>
        <w:t xml:space="preserve"> </w:t>
      </w:r>
      <w:r>
        <w:rPr>
          <w:bCs/>
          <w:b/>
        </w:rPr>
        <w:t xml:space="preserve">rang</w:t>
      </w:r>
      <w:r>
        <w:t xml:space="preserve"> </w:t>
      </w:r>
      <w:r>
        <w:t xml:space="preserve">: la première occurrence d’un tiers reçoit le rang 1,</w:t>
      </w:r>
      <w:r>
        <w:t xml:space="preserve"> </w:t>
      </w:r>
      <w:r>
        <w:t xml:space="preserve">les occurrences suivantes les rangs 2, 3, et ainsi de suite. Seules les lignes de rang 1</w:t>
      </w:r>
      <w:r>
        <w:t xml:space="preserve"> </w:t>
      </w:r>
      <w:r>
        <w:t xml:space="preserve">sont retenues pour l’import, les autres étant considérées comme des achats successifs d’un</w:t>
      </w:r>
      <w:r>
        <w:t xml:space="preserve"> </w:t>
      </w:r>
      <w:r>
        <w:t xml:space="preserve">client déjà compté. Ce principe de rang présente un avantage sur une déduplication par</w:t>
      </w:r>
      <w:r>
        <w:t xml:space="preserve"> </w:t>
      </w:r>
      <w:r>
        <w:t xml:space="preserve">suppression : aucune ligne n’est effacée du fichier de travail. Les doublons restent</w:t>
      </w:r>
      <w:r>
        <w:t xml:space="preserve"> </w:t>
      </w:r>
      <w:r>
        <w:t xml:space="preserve">visibles, avec leur rang, permettant à tout moment de vérifier pourquoi une ligne n’a</w:t>
      </w:r>
      <w:r>
        <w:t xml:space="preserve"> </w:t>
      </w:r>
      <w:r>
        <w:t xml:space="preserve">pas été importée et de remonter à la vente concernée.</w:t>
      </w:r>
    </w:p>
    <w:p>
      <w:pPr>
        <w:pStyle w:val="BodyText"/>
      </w:pPr>
      <w:r>
        <w:t xml:space="preserve">Ce choix de trois clés différenciées est, à mes yeux, le véritable cœur méthodologique de ce</w:t>
      </w:r>
      <w:r>
        <w:t xml:space="preserve"> </w:t>
      </w:r>
      <w:r>
        <w:t xml:space="preserve">travail. En effet, il traduit une idée simple : la règle d’unicité n’est pas une propriété du</w:t>
      </w:r>
      <w:r>
        <w:t xml:space="preserve"> </w:t>
      </w:r>
      <w:r>
        <w:t xml:space="preserve">fichier, c’est une propriété du métier. Chercher une clé universelle aurait conduit soit à</w:t>
      </w:r>
      <w:r>
        <w:t xml:space="preserve"> </w:t>
      </w:r>
      <w:r>
        <w:t xml:space="preserve">fusionner des tiers distincts, soit à en dupliquer, et dans les deux cas l’erreur n’aurait été</w:t>
      </w:r>
      <w:r>
        <w:t xml:space="preserve"> </w:t>
      </w:r>
      <w:r>
        <w:t xml:space="preserve">découverte que bien plus tard, dans l’usage quotidien de l’ERP.</w:t>
      </w:r>
    </w:p>
    <w:bookmarkEnd w:id="74"/>
    <w:bookmarkStart w:id="78" w:name="Xed9f9aadc86800bee5b2628c12d2096a19bdeba"/>
    <w:p>
      <w:pPr>
        <w:pStyle w:val="Heading3"/>
      </w:pPr>
      <w:r>
        <w:t xml:space="preserve">3.3.2 L’exclusion des tiers déjà présents dans SPO</w:t>
      </w:r>
    </w:p>
    <w:p>
      <w:pPr>
        <w:pStyle w:val="FirstParagraph"/>
      </w:pPr>
      <w:r>
        <w:t xml:space="preserve">Le deuxième mécanisme répond à la duplication externe. Pour chaque ligne de la feuille</w:t>
      </w:r>
      <w:r>
        <w:t xml:space="preserve"> </w:t>
      </w:r>
      <w:r>
        <w:t xml:space="preserve">pivot, trois formules de recherche interrogent la feuille contenant l’extraction des tiers</w:t>
      </w:r>
      <w:r>
        <w:t xml:space="preserve"> </w:t>
      </w:r>
      <w:r>
        <w:t xml:space="preserve">déjà créés dans SPO, chacune adaptée à une nature :</w:t>
      </w:r>
    </w:p>
    <w:p>
      <w:pPr>
        <w:numPr>
          <w:ilvl w:val="0"/>
          <w:numId w:val="1021"/>
        </w:numPr>
        <w:pStyle w:val="Compact"/>
      </w:pPr>
      <w:r>
        <w:t xml:space="preserve">La première recherche les</w:t>
      </w:r>
      <w:r>
        <w:t xml:space="preserve"> </w:t>
      </w:r>
      <w:r>
        <w:rPr>
          <w:bCs/>
          <w:b/>
        </w:rPr>
        <w:t xml:space="preserve">personnes morales</w:t>
      </w:r>
      <w:r>
        <w:t xml:space="preserve"> </w:t>
      </w:r>
      <w:r>
        <w:t xml:space="preserve">par leur raison sociale.</w:t>
      </w:r>
    </w:p>
    <w:p>
      <w:pPr>
        <w:numPr>
          <w:ilvl w:val="0"/>
          <w:numId w:val="1021"/>
        </w:numPr>
        <w:pStyle w:val="Compact"/>
      </w:pPr>
      <w:r>
        <w:t xml:space="preserve">La deuxième recherche les</w:t>
      </w:r>
      <w:r>
        <w:t xml:space="preserve"> </w:t>
      </w:r>
      <w:r>
        <w:rPr>
          <w:bCs/>
          <w:b/>
        </w:rPr>
        <w:t xml:space="preserve">personnes physiques</w:t>
      </w:r>
      <w:r>
        <w:t xml:space="preserve"> </w:t>
      </w:r>
      <w:r>
        <w:t xml:space="preserve">par leur nom et leur prénom.</w:t>
      </w:r>
    </w:p>
    <w:p>
      <w:pPr>
        <w:numPr>
          <w:ilvl w:val="0"/>
          <w:numId w:val="1021"/>
        </w:numPr>
        <w:pStyle w:val="Compact"/>
      </w:pPr>
      <w:r>
        <w:t xml:space="preserve">La troisième recherche les</w:t>
      </w:r>
      <w:r>
        <w:t xml:space="preserve"> </w:t>
      </w:r>
      <w:r>
        <w:rPr>
          <w:bCs/>
          <w:b/>
        </w:rPr>
        <w:t xml:space="preserve">couples</w:t>
      </w:r>
      <w:r>
        <w:t xml:space="preserve"> </w:t>
      </w:r>
      <w:r>
        <w:t xml:space="preserve">par les quatre noms qui les composent, en testant</w:t>
      </w:r>
      <w:r>
        <w:t xml:space="preserve"> </w:t>
      </w:r>
      <w:r>
        <w:t xml:space="preserve">les deux ordres possibles entre l’acquéreur et le co-acquéreur.</w:t>
      </w:r>
    </w:p>
    <w:p>
      <w:pPr>
        <w:pStyle w:val="FirstParagraph"/>
      </w:pPr>
      <w:r>
        <w:t xml:space="preserve">Ce dernier point mérite d’être souligné, parce qu’il illustre le genre de détail qui décide</w:t>
      </w:r>
      <w:r>
        <w:t xml:space="preserve"> </w:t>
      </w:r>
      <w:r>
        <w:t xml:space="preserve">de la réussite d’une reprise. Rien ne garantit que l’ordre des deux conjoints soit le même</w:t>
      </w:r>
      <w:r>
        <w:t xml:space="preserve"> </w:t>
      </w:r>
      <w:r>
        <w:t xml:space="preserve">dans Vadimm et dans SPO : un couple saisi manuellement peut très bien y figurer avec le</w:t>
      </w:r>
      <w:r>
        <w:t xml:space="preserve"> </w:t>
      </w:r>
      <w:r>
        <w:t xml:space="preserve">conjoint en premier. Une recherche qui ne testerait qu’un seul sens laisserait donc passer</w:t>
      </w:r>
      <w:r>
        <w:t xml:space="preserve"> </w:t>
      </w:r>
      <w:r>
        <w:t xml:space="preserve">une partie des doublons, et les tiers concernés seraient créés une seconde fois sans que</w:t>
      </w:r>
      <w:r>
        <w:t xml:space="preserve"> </w:t>
      </w:r>
      <w:r>
        <w:t xml:space="preserve">personne s’en aperçoive avant longtemps. Tester les deux sens allonge la formule, mais</w:t>
      </w:r>
      <w:r>
        <w:t xml:space="preserve"> </w:t>
      </w:r>
      <w:r>
        <w:t xml:space="preserve">supprime entièrement ce risque.</w:t>
      </w:r>
    </w:p>
    <w:p>
      <w:pPr>
        <w:pStyle w:val="BodyText"/>
      </w:pPr>
      <w:r>
        <w:t xml:space="preserve">Lorsque l’une de ces trois formules renvoie un code tiers de SPO, du type</w:t>
      </w:r>
      <w:r>
        <w:t xml:space="preserve"> </w:t>
      </w:r>
      <w:r>
        <w:rPr>
          <w:rStyle w:val="VerbatimChar"/>
        </w:rPr>
        <w:t xml:space="preserve">T00012666</w:t>
      </w:r>
      <w:r>
        <w:t xml:space="preserve">, la</w:t>
      </w:r>
      <w:r>
        <w:t xml:space="preserve"> </w:t>
      </w:r>
      <w:r>
        <w:t xml:space="preserve">ligne est automatiquement exclue de l’import. Sur ce projet,</w:t>
      </w:r>
      <w:r>
        <w:t xml:space="preserve"> </w:t>
      </w:r>
      <w:r>
        <w:rPr>
          <w:bCs/>
          <w:b/>
        </w:rPr>
        <w:t xml:space="preserve">40 tiers</w:t>
      </w:r>
      <w:r>
        <w:t xml:space="preserve"> </w:t>
      </w:r>
      <w:r>
        <w:t xml:space="preserve">ont ainsi été</w:t>
      </w:r>
      <w:r>
        <w:t xml:space="preserve"> </w:t>
      </w:r>
      <w:r>
        <w:t xml:space="preserve">détectés comme déjà existants et écartés. Rapporté aux 1 474 tiers uniques, le volume peut</w:t>
      </w:r>
      <w:r>
        <w:t xml:space="preserve"> </w:t>
      </w:r>
      <w:r>
        <w:t xml:space="preserve">sembler faible, mais chacun de ces 40 cas aurait produit un doublon durable dans le</w:t>
      </w:r>
      <w:r>
        <w:t xml:space="preserve"> </w:t>
      </w:r>
      <w:r>
        <w:t xml:space="preserve">référentiel client de l’entreprise.</w:t>
      </w:r>
    </w:p>
    <w:p>
      <w:pPr>
        <w:pStyle w:val="BodyText"/>
      </w:pPr>
      <w:r>
        <w:t xml:space="preserve">La Figure 3.2 récapitule l’effet cumulé de ces deux premiers mécanismes. Des 1 602 lignes</w:t>
      </w:r>
      <w:r>
        <w:t xml:space="preserve"> </w:t>
      </w:r>
      <w:r>
        <w:t xml:space="preserve">du périmètre de départ, la déduplication interne en écarte 128 qui correspondent à des</w:t>
      </w:r>
      <w:r>
        <w:t xml:space="preserve"> </w:t>
      </w:r>
      <w:r>
        <w:t xml:space="preserve">achats répétés, ramenant le total à 1 474 tiers uniques ; l’exclusion des tiers déjà présents</w:t>
      </w:r>
      <w:r>
        <w:t xml:space="preserve"> </w:t>
      </w:r>
      <w:r>
        <w:t xml:space="preserve">dans SPO en retire 40 de plus, pour un total de</w:t>
      </w:r>
      <w:r>
        <w:t xml:space="preserve"> </w:t>
      </w:r>
      <w:r>
        <w:rPr>
          <w:bCs/>
          <w:b/>
        </w:rPr>
        <w:t xml:space="preserve">1 434 tiers à créer</w:t>
      </w:r>
      <w:r>
        <w:t xml:space="preserve">. Chaque étage de</w:t>
      </w:r>
      <w:r>
        <w:t xml:space="preserve"> </w:t>
      </w:r>
      <w:r>
        <w:t xml:space="preserve">ce filtrage correspond à une règle explicite, écrite dans une colonne du fichier, donc</w:t>
      </w:r>
      <w:r>
        <w:t xml:space="preserve"> </w:t>
      </w:r>
      <w:r>
        <w:t xml:space="preserve">vérifiable et reproductible.</w:t>
      </w:r>
    </w:p>
    <w:p>
      <w:pPr>
        <w:pStyle w:val="CaptionedFigure"/>
      </w:pPr>
      <w:r>
        <w:drawing>
          <wp:inline>
            <wp:extent cx="4907280" cy="1850357"/>
            <wp:effectExtent b="0" l="0" r="0" t="0"/>
            <wp:docPr descr="De 1 602 lignes de départ à 1 434 tiers créés : l’effet des deux filtres successifs" title="" id="76" name="Picture"/>
            <a:graphic>
              <a:graphicData uri="http://schemas.openxmlformats.org/drawingml/2006/picture">
                <pic:pic>
                  <pic:nvPicPr>
                    <pic:cNvPr descr="figures/fig_3_2_entonnoir_volumetri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85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3.2 – De 1 602 lignes de départ à 1 434 tiers créés : l’effet des deux filtres successifs</w:t>
      </w:r>
    </w:p>
    <w:bookmarkEnd w:id="78"/>
    <w:bookmarkStart w:id="82" w:name="X8e48716cd2519bf25bfa7252f2937d1001c6cbb"/>
    <w:p>
      <w:pPr>
        <w:pStyle w:val="Heading3"/>
      </w:pPr>
      <w:r>
        <w:t xml:space="preserve">3.3.3 La propagation vers les feuilles de sortie par numérotation séquentielle</w:t>
      </w:r>
    </w:p>
    <w:p>
      <w:pPr>
        <w:pStyle w:val="FirstParagraph"/>
      </w:pPr>
      <w:r>
        <w:t xml:space="preserve">Restait à alimenter les six feuilles de sortie à partir des lignes retenues. La difficulté tient</w:t>
      </w:r>
      <w:r>
        <w:t xml:space="preserve"> </w:t>
      </w:r>
      <w:r>
        <w:t xml:space="preserve">à ce que ces feuilles n’ont ni la même population ni le même nombre de lignes. La feuille des</w:t>
      </w:r>
      <w:r>
        <w:t xml:space="preserve"> </w:t>
      </w:r>
      <w:r>
        <w:t xml:space="preserve">tiers reçoit un enregistrement par tiers créé, mais la feuille des adresses ne concerne que les</w:t>
      </w:r>
      <w:r>
        <w:t xml:space="preserve"> </w:t>
      </w:r>
      <w:r>
        <w:t xml:space="preserve">personnes physiques et morales, celle des courriels seulement celles de ces personnes dont le</w:t>
      </w:r>
      <w:r>
        <w:t xml:space="preserve"> </w:t>
      </w:r>
      <w:r>
        <w:t xml:space="preserve">courriel est renseigné, et celle des représentants deux lignes par couple plus une par société.</w:t>
      </w:r>
      <w:r>
        <w:t xml:space="preserve"> </w:t>
      </w:r>
      <w:r>
        <w:t xml:space="preserve">Il fallait donc, pour chaque feuille, une numérotation qui lui soit propre.</w:t>
      </w:r>
    </w:p>
    <w:p>
      <w:pPr>
        <w:pStyle w:val="BodyText"/>
      </w:pPr>
      <w:r>
        <w:t xml:space="preserve">Le mécanisme que j’ai retenu attribue à chaque ligne de la feuille pivot un</w:t>
      </w:r>
      <w:r>
        <w:t xml:space="preserve"> </w:t>
      </w:r>
      <w:r>
        <w:rPr>
          <w:bCs/>
          <w:b/>
        </w:rPr>
        <w:t xml:space="preserve">numéro</w:t>
      </w:r>
      <w:r>
        <w:rPr>
          <w:bCs/>
          <w:b/>
        </w:rPr>
        <w:t xml:space="preserve"> </w:t>
      </w:r>
      <w:r>
        <w:rPr>
          <w:bCs/>
          <w:b/>
        </w:rPr>
        <w:t xml:space="preserve">séquentiel par destination</w:t>
      </w:r>
      <w:r>
        <w:t xml:space="preserve">, calculé dans une colonne dédiée. Une ligne qui n’a pas</w:t>
      </w:r>
      <w:r>
        <w:t xml:space="preserve"> </w:t>
      </w:r>
      <w:r>
        <w:t xml:space="preserve">vocation à alimenter une feuille donnée ne reçoit pas de numéro pour cette feuille ; les</w:t>
      </w:r>
      <w:r>
        <w:t xml:space="preserve"> </w:t>
      </w:r>
      <w:r>
        <w:t xml:space="preserve">lignes concernées sont numérotées de 1 à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dans l’ordre de la feuille pivot. Chaque</w:t>
      </w:r>
      <w:r>
        <w:t xml:space="preserve"> </w:t>
      </w:r>
      <w:r>
        <w:t xml:space="preserve">feuille de sortie n’a plus alors qu’à rechercher, pour sa ligne</w:t>
      </w:r>
      <w:r>
        <w:t xml:space="preserve"> </w:t>
      </w:r>
      <w:r>
        <w:rPr>
          <w:iCs/>
          <w:i/>
        </w:rPr>
        <w:t xml:space="preserve">i</w:t>
      </w:r>
      <w:r>
        <w:t xml:space="preserve">, la ligne de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portant le numéro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dans la colonne qui la concerne.</w:t>
      </w:r>
    </w:p>
    <w:p>
      <w:pPr>
        <w:pStyle w:val="BodyText"/>
      </w:pPr>
      <w:r>
        <w:t xml:space="preserve">L’intérêt de ce détour est qu’il rend les six feuilles indépendantes les unes des autres</w:t>
      </w:r>
      <w:r>
        <w:t xml:space="preserve"> </w:t>
      </w:r>
      <w:r>
        <w:t xml:space="preserve">tout en les gardant synchronisées avec une source unique. Si une ligne est corrigée dans la</w:t>
      </w:r>
      <w:r>
        <w:t xml:space="preserve"> </w:t>
      </w:r>
      <w:r>
        <w:t xml:space="preserve">feuille pivot, ou si une nouvelle exclusion apparaît, les six numérotations se recalculent</w:t>
      </w:r>
      <w:r>
        <w:t xml:space="preserve"> </w:t>
      </w:r>
      <w:r>
        <w:t xml:space="preserve">et les six fichiers restent cohérents entre eux. C’est exactement le problème qui, en</w:t>
      </w:r>
      <w:r>
        <w:t xml:space="preserve"> </w:t>
      </w:r>
      <w:r>
        <w:t xml:space="preserve">saisie manuelle, produit les incohérences les plus difficiles à détecter : une adresse</w:t>
      </w:r>
      <w:r>
        <w:t xml:space="preserve"> </w:t>
      </w:r>
      <w:r>
        <w:t xml:space="preserve">rattachée au mauvais tiers parce qu’une ligne a été insérée quelque part sans que le reste</w:t>
      </w:r>
      <w:r>
        <w:t xml:space="preserve"> </w:t>
      </w:r>
      <w:r>
        <w:t xml:space="preserve">suive.</w:t>
      </w:r>
    </w:p>
    <w:p>
      <w:pPr>
        <w:pStyle w:val="BodyText"/>
      </w:pPr>
      <w:r>
        <w:t xml:space="preserve">La Figure 3.3 donne la volumétrie effectivement produite par chacune des six feuilles. On</w:t>
      </w:r>
      <w:r>
        <w:t xml:space="preserve"> </w:t>
      </w:r>
      <w:r>
        <w:t xml:space="preserve">y lit directement le modèle de données décrit plus haut : 1 434 lignes pour la liste</w:t>
      </w:r>
      <w:r>
        <w:t xml:space="preserve"> </w:t>
      </w:r>
      <w:r>
        <w:t xml:space="preserve">maîtresse des tiers et autant pour l’attribution du rôle « Client », mais 1 871 lignes de</w:t>
      </w:r>
      <w:r>
        <w:t xml:space="preserve"> </w:t>
      </w:r>
      <w:r>
        <w:t xml:space="preserve">représentants, puisque chaque couple en compte deux, et seulement 553 adresses, 538</w:t>
      </w:r>
      <w:r>
        <w:t xml:space="preserve"> </w:t>
      </w:r>
      <w:r>
        <w:t xml:space="preserve">téléphones et 469 courriels, ces trois derniers fichiers ne portant que les personnes</w:t>
      </w:r>
      <w:r>
        <w:t xml:space="preserve"> </w:t>
      </w:r>
      <w:r>
        <w:t xml:space="preserve">physiques et morales. Ces écarts de volumétrie d’un fichier à l’autre ne sont donc pas des</w:t>
      </w:r>
      <w:r>
        <w:t xml:space="preserve"> </w:t>
      </w:r>
      <w:r>
        <w:t xml:space="preserve">approximations : ils sont la traduction directe du modèle de données décrit en 3.2.2.</w:t>
      </w:r>
    </w:p>
    <w:p>
      <w:pPr>
        <w:pStyle w:val="CaptionedFigure"/>
      </w:pPr>
      <w:r>
        <w:drawing>
          <wp:inline>
            <wp:extent cx="5067300" cy="2234997"/>
            <wp:effectExtent b="0" l="0" r="0" t="0"/>
            <wp:docPr descr="Les six fichiers d’import produits par la feuille pivot" title="" id="80" name="Picture"/>
            <a:graphic>
              <a:graphicData uri="http://schemas.openxmlformats.org/drawingml/2006/picture">
                <pic:pic>
                  <pic:nvPicPr>
                    <pic:cNvPr descr="figures/fig_3_3_volumetrie_fichiers_import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3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3.3 – Les six fichiers d’import produits par la feuille pivot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de la feuille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, montrant côte à</w:t>
      </w:r>
      <w:r>
        <w:t xml:space="preserve"> </w:t>
      </w:r>
      <w:r>
        <w:t xml:space="preserve">côte les colonnes de données reprises et les colonnes calculées : les trois rangs de</w:t>
      </w:r>
      <w:r>
        <w:t xml:space="preserve"> </w:t>
      </w:r>
      <w:r>
        <w:t xml:space="preserve">déduplication avec des valeurs 1 et 2 visibles, et une ligne portant un code SPO dans les</w:t>
      </w:r>
      <w:r>
        <w:t xml:space="preserve"> </w:t>
      </w:r>
      <w:r>
        <w:t xml:space="preserve">colonnes de rapprochement. Anonymiser les noms d’acquéreurs. Les figures suivantes sont à</w:t>
      </w:r>
      <w:r>
        <w:t xml:space="preserve"> </w:t>
      </w:r>
      <w:r>
        <w:t xml:space="preserve">renuméroter après insertion.</w:t>
      </w:r>
    </w:p>
    <w:bookmarkEnd w:id="82"/>
    <w:bookmarkEnd w:id="83"/>
    <w:bookmarkStart w:id="86" w:name="X9f16b6badd74dad5d51a141a34c6403b7364c15"/>
    <w:p>
      <w:pPr>
        <w:pStyle w:val="Heading2"/>
      </w:pPr>
      <w:r>
        <w:t xml:space="preserve">3.4 De la préparation à l’injection : procédure et contraintes techniques</w:t>
      </w:r>
    </w:p>
    <w:bookmarkStart w:id="84" w:name="X089274de5f94372c49c715cfd2b3239808f155b"/>
    <w:p>
      <w:pPr>
        <w:pStyle w:val="Heading3"/>
      </w:pPr>
      <w:r>
        <w:t xml:space="preserve">3.4.1 Génération et normalisation des fichiers d’import</w:t>
      </w:r>
    </w:p>
    <w:p>
      <w:pPr>
        <w:pStyle w:val="FirstParagraph"/>
      </w:pPr>
      <w:r>
        <w:t xml:space="preserve">Une fois les six feuilles calculées, il restait à les transformer en fichiers réellement</w:t>
      </w:r>
      <w:r>
        <w:t xml:space="preserve"> </w:t>
      </w:r>
      <w:r>
        <w:t xml:space="preserve">acceptés par SPO. Cette étape, que j’imaginais purement mécanique, a mobilisé quatre</w:t>
      </w:r>
      <w:r>
        <w:t xml:space="preserve"> </w:t>
      </w:r>
      <w:r>
        <w:t xml:space="preserve">contraintes de format que la documentation ne mentionnait pas et que les premiers rejets ont</w:t>
      </w:r>
      <w:r>
        <w:t xml:space="preserve"> </w:t>
      </w:r>
      <w:r>
        <w:t xml:space="preserve">fait apparaître : un encodage UTF-8 avec le point-virgule pour séparateur, seule</w:t>
      </w:r>
      <w:r>
        <w:t xml:space="preserve"> </w:t>
      </w:r>
      <w:r>
        <w:t xml:space="preserve">configuration acceptée ; la conversion en ASCII pur de tous les noms, prénoms, adresses et</w:t>
      </w:r>
      <w:r>
        <w:t xml:space="preserve"> </w:t>
      </w:r>
      <w:r>
        <w:t xml:space="preserve">professions, SPO refusant les caractères accentués ; la suppression de la seconde ligne</w:t>
      </w:r>
      <w:r>
        <w:t xml:space="preserve"> </w:t>
      </w:r>
      <w:r>
        <w:t xml:space="preserve">d’en-tête des feuilles de travail ; et le découpage en lots de 200 tiers au maximum,</w:t>
      </w:r>
      <w:r>
        <w:t xml:space="preserve"> </w:t>
      </w:r>
      <w:r>
        <w:t xml:space="preserve">homogènes en nature. Le détail de ces contraintes figure en annexe A.</w:t>
      </w:r>
    </w:p>
    <w:p>
      <w:pPr>
        <w:pStyle w:val="BodyText"/>
      </w:pPr>
      <w:r>
        <w:t xml:space="preserve">La dernière règle a une conséquence pratique : un même fichier ne pouvant mélanger couples et</w:t>
      </w:r>
      <w:r>
        <w:t xml:space="preserve"> </w:t>
      </w:r>
      <w:r>
        <w:t xml:space="preserve">personnes physiques, il faut trier par nature avant de découper, ce qui explique que l’import</w:t>
      </w:r>
      <w:r>
        <w:t xml:space="preserve"> </w:t>
      </w:r>
      <w:r>
        <w:t xml:space="preserve">des couples se soit fait en cinq lots successifs.</w:t>
      </w:r>
    </w:p>
    <w:p>
      <w:pPr>
        <w:pStyle w:val="BodyText"/>
      </w:pPr>
      <w:r>
        <w:t xml:space="preserve">Ces contraintes sont consignées dans la note de procédure remise à l’équipe, avec la marche à</w:t>
      </w:r>
      <w:r>
        <w:t xml:space="preserve"> </w:t>
      </w:r>
      <w:r>
        <w:t xml:space="preserve">suivre pour rejouer l’import s’il devait être différé — point qui n’est pas anecdotique,</w:t>
      </w:r>
      <w:r>
        <w:t xml:space="preserve"> </w:t>
      </w:r>
      <w:r>
        <w:t xml:space="preserve">puisque d’autres tiers peuvent être créés dans SPO entre la préparation du fichier et</w:t>
      </w:r>
      <w:r>
        <w:t xml:space="preserve"> </w:t>
      </w:r>
      <w:r>
        <w:t xml:space="preserve">l’injection. La procédure prévoit alors de redemander une extraction actualisée, de remplacer</w:t>
      </w:r>
      <w:r>
        <w:t xml:space="preserve"> </w:t>
      </w:r>
      <w:r>
        <w:t xml:space="preserve">la feuille de référence et de recalculer : les tiers devenus existants sortent automatiquement</w:t>
      </w:r>
      <w:r>
        <w:t xml:space="preserve"> </w:t>
      </w:r>
      <w:r>
        <w:t xml:space="preserve">du périmètre. Le fichier reste ainsi utilisable dans le temps, ce qui était l’un de mes</w:t>
      </w:r>
      <w:r>
        <w:t xml:space="preserve"> </w:t>
      </w:r>
      <w:r>
        <w:t xml:space="preserve">objectifs de conception.</w:t>
      </w:r>
    </w:p>
    <w:bookmarkEnd w:id="84"/>
    <w:bookmarkStart w:id="85" w:name="Xbcf0721a2fd042b3991778598dd74225cd6534f"/>
    <w:p>
      <w:pPr>
        <w:pStyle w:val="Heading3"/>
      </w:pPr>
      <w:r>
        <w:t xml:space="preserve">3.4.2 Le contournement par API : 872 requêtes PATCH pour les coordonnées des couples</w:t>
      </w:r>
    </w:p>
    <w:p>
      <w:pPr>
        <w:pStyle w:val="FirstParagraph"/>
      </w:pPr>
      <w:r>
        <w:t xml:space="preserve">C’est à ce stade que j’ai rencontré la contrainte la plus structurante du projet, et celle</w:t>
      </w:r>
      <w:r>
        <w:t xml:space="preserve"> </w:t>
      </w:r>
      <w:r>
        <w:t xml:space="preserve">dont la résolution m’a le plus appris.</w:t>
      </w:r>
    </w:p>
    <w:p>
      <w:pPr>
        <w:pStyle w:val="BodyText"/>
      </w:pPr>
      <w:r>
        <w:t xml:space="preserve">Le format d’import CSV de SPO ne permet pas de porter les courriels et les téléphones des</w:t>
      </w:r>
      <w:r>
        <w:t xml:space="preserve"> </w:t>
      </w:r>
      <w:r>
        <w:t xml:space="preserve">couples. La raison en est logique au regard du modèle de données décrit en 3.2.2 : pour un</w:t>
      </w:r>
      <w:r>
        <w:t xml:space="preserve"> </w:t>
      </w:r>
      <w:r>
        <w:t xml:space="preserve">couple, ces coordonnées ne sont pas des attributs du tiers mais des attributs de ses</w:t>
      </w:r>
      <w:r>
        <w:t xml:space="preserve"> </w:t>
      </w:r>
      <w:r>
        <w:t xml:space="preserve">représentants, et les fichiers d’import de coordonnées ne savent viser qu’un tiers. Le</w:t>
      </w:r>
      <w:r>
        <w:t xml:space="preserve"> </w:t>
      </w:r>
      <w:r>
        <w:t xml:space="preserve">résultat est que, sur les 881 couples créés, les fichiers CSV pouvaient produire l’identité</w:t>
      </w:r>
      <w:r>
        <w:t xml:space="preserve"> </w:t>
      </w:r>
      <w:r>
        <w:t xml:space="preserve">et les représentants, mais ne pouvaient pas porter les coordonnées de contact. Concrètement,</w:t>
      </w:r>
      <w:r>
        <w:t xml:space="preserve"> </w:t>
      </w:r>
      <w:r>
        <w:t xml:space="preserve">plus de six tiers sur dix se seraient retrouvés dans l’ERP sans adresse électronique ni</w:t>
      </w:r>
      <w:r>
        <w:t xml:space="preserve"> </w:t>
      </w:r>
      <w:r>
        <w:t xml:space="preserve">numéro de téléphone, ce qui aurait vidé une bonne partie de l’intérêt de la reprise pour</w:t>
      </w:r>
      <w:r>
        <w:t xml:space="preserve"> </w:t>
      </w:r>
      <w:r>
        <w:t xml:space="preserve">les équipes commerciales.</w:t>
      </w:r>
    </w:p>
    <w:p>
      <w:pPr>
        <w:pStyle w:val="BodyText"/>
      </w:pPr>
      <w:r>
        <w:t xml:space="preserve">Deux voies restaient praticables. La première, saisir ces coordonnées à la main après</w:t>
      </w:r>
      <w:r>
        <w:t xml:space="preserve"> </w:t>
      </w:r>
      <w:r>
        <w:t xml:space="preserve">l’import, représentait plusieurs centaines de saisies et reconduisait exactement le risque</w:t>
      </w:r>
      <w:r>
        <w:t xml:space="preserve"> </w:t>
      </w:r>
      <w:r>
        <w:t xml:space="preserve">d’erreur que le fichier automatisé visait à supprimer. La seconde consistait à passer par</w:t>
      </w:r>
      <w:r>
        <w:t xml:space="preserve"> </w:t>
      </w:r>
      <w:r>
        <w:t xml:space="preserve">l’API de SPO, que j’avais déjà pratiquée au premier semestre. C’est celle que j’ai</w:t>
      </w:r>
      <w:r>
        <w:t xml:space="preserve"> </w:t>
      </w:r>
      <w:r>
        <w:t xml:space="preserve">retenue.</w:t>
      </w:r>
    </w:p>
    <w:p>
      <w:pPr>
        <w:pStyle w:val="BodyText"/>
      </w:pPr>
      <w:r>
        <w:t xml:space="preserve">L’API expose en effet une opération de modification partielle au format</w:t>
      </w:r>
      <w:r>
        <w:t xml:space="preserve"> </w:t>
      </w:r>
      <w:r>
        <w:rPr>
          <w:bCs/>
          <w:b/>
        </w:rPr>
        <w:t xml:space="preserve">JSON Patch</w:t>
      </w:r>
      <w:r>
        <w:t xml:space="preserve">,</w:t>
      </w:r>
      <w:r>
        <w:t xml:space="preserve"> </w:t>
      </w:r>
      <w:r>
        <w:t xml:space="preserve">normalisé par la RFC 6902 [3]. Ce format permet de décrire une modification non pas en</w:t>
      </w:r>
      <w:r>
        <w:t xml:space="preserve"> </w:t>
      </w:r>
      <w:r>
        <w:t xml:space="preserve">renvoyant l’objet entier, mais sous la forme d’une liste d’opérations élémentaires, chacune</w:t>
      </w:r>
      <w:r>
        <w:t xml:space="preserve"> </w:t>
      </w:r>
      <w:r>
        <w:t xml:space="preserve">indiquant l’action à effectuer, le chemin de la propriété visée dans l’objet et la valeur à</w:t>
      </w:r>
      <w:r>
        <w:t xml:space="preserve"> </w:t>
      </w:r>
      <w:r>
        <w:t xml:space="preserve">appliquer. C’est exactement ce dont j’avais besoin : ajouter un courriel et un téléphone</w:t>
      </w:r>
      <w:r>
        <w:t xml:space="preserve"> </w:t>
      </w:r>
      <w:r>
        <w:t xml:space="preserve">sur un représentant déjà créé, sans toucher au reste de sa fiche ni risquer d’écraser une</w:t>
      </w:r>
      <w:r>
        <w:t xml:space="preserve"> </w:t>
      </w:r>
      <w:r>
        <w:t xml:space="preserve">donnée saisie ailleurs.</w:t>
      </w:r>
    </w:p>
    <w:p>
      <w:pPr>
        <w:pStyle w:val="BodyText"/>
      </w:pPr>
      <w:r>
        <w:t xml:space="preserve">La démarche s’est déroulée en trois temps 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Génération des requêtes.</w:t>
      </w:r>
      <w:r>
        <w:t xml:space="preserve"> </w:t>
      </w:r>
      <w:r>
        <w:t xml:space="preserve">J’ai construit le corps de chaque requête à partir des</w:t>
      </w:r>
      <w:r>
        <w:t xml:space="preserve"> </w:t>
      </w:r>
      <w:r>
        <w:t xml:space="preserve">données présentes dans la 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Constitution de la collection.</w:t>
      </w:r>
      <w:r>
        <w:t xml:space="preserve"> </w:t>
      </w:r>
      <w:r>
        <w:t xml:space="preserve">J’ai regroupé ces requêtes dans une collection</w:t>
      </w:r>
      <w:r>
        <w:t xml:space="preserve"> </w:t>
      </w:r>
      <w:r>
        <w:t xml:space="preserve">Postman, l’outil de test et d’exécution de requêtes. La collection compte</w:t>
      </w:r>
      <w:r>
        <w:t xml:space="preserve"> </w:t>
      </w:r>
      <w:r>
        <w:rPr>
          <w:bCs/>
          <w:b/>
        </w:rPr>
        <w:t xml:space="preserve">872 requêtes PATCH</w:t>
      </w:r>
      <w:r>
        <w:t xml:space="preserve">, organisées en cinq lots correspondant aux cinq fichiers d’import</w:t>
      </w:r>
      <w:r>
        <w:t xml:space="preserve"> </w:t>
      </w:r>
      <w:r>
        <w:t xml:space="preserve">de couples.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Exécution et contrôle.</w:t>
      </w:r>
      <w:r>
        <w:t xml:space="preserve"> </w:t>
      </w:r>
      <w:r>
        <w:t xml:space="preserve">Les cinq lots ont été exécutés après la création des couples,</w:t>
      </w:r>
      <w:r>
        <w:t xml:space="preserve"> </w:t>
      </w:r>
      <w:r>
        <w:t xml:space="preserve">et l’intégralité des 872 requêtes est passée sans erreur.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de la collection Postman : arborescence des cinq</w:t>
      </w:r>
      <w:r>
        <w:t xml:space="preserve"> </w:t>
      </w:r>
      <w:r>
        <w:t xml:space="preserve">lots et vue d’une requête PATCH sur son onglet</w:t>
      </w:r>
      <w:r>
        <w:t xml:space="preserve"> </w:t>
      </w:r>
      <w:r>
        <w:rPr>
          <w:iCs/>
          <w:i/>
        </w:rPr>
        <w:t xml:space="preserve">Body</w:t>
      </w:r>
      <w:r>
        <w:t xml:space="preserve">, montrant la structure JSON Patch.</w:t>
      </w:r>
      <w:r>
        <w:t xml:space="preserve"> </w:t>
      </w:r>
      <w:r>
        <w:t xml:space="preserve">Masquer l’adresse du serveur et les identifiants, comme sur la Figure 2.2. Les figures</w:t>
      </w:r>
      <w:r>
        <w:t xml:space="preserve"> </w:t>
      </w:r>
      <w:r>
        <w:t xml:space="preserve">suivantes sont à renuméroter après insertion.</w:t>
      </w:r>
    </w:p>
    <w:p>
      <w:pPr>
        <w:pStyle w:val="FirstParagraph"/>
      </w:pPr>
      <w:r>
        <w:t xml:space="preserve">Ce contournement m’a appris quelque chose que je n’avais pas formulé aussi clairement</w:t>
      </w:r>
      <w:r>
        <w:t xml:space="preserve"> </w:t>
      </w:r>
      <w:r>
        <w:t xml:space="preserve">jusque-là : dans un projet de reprise, la limite d’un format d’import n’est pas</w:t>
      </w:r>
      <w:r>
        <w:t xml:space="preserve"> </w:t>
      </w:r>
      <w:r>
        <w:t xml:space="preserve">nécessairement une limite du système. Le fichier plat et l’API sont deux portes d’entrée</w:t>
      </w:r>
      <w:r>
        <w:t xml:space="preserve"> </w:t>
      </w:r>
      <w:r>
        <w:t xml:space="preserve">vers le même modèle de données, et elles n’offrent pas les mêmes possibilités. Savoir</w:t>
      </w:r>
      <w:r>
        <w:t xml:space="preserve"> </w:t>
      </w:r>
      <w:r>
        <w:t xml:space="preserve">basculer de l’une à l’autre au bon moment, plutôt que d’accepter une perte de données ou de</w:t>
      </w:r>
      <w:r>
        <w:t xml:space="preserve"> </w:t>
      </w:r>
      <w:r>
        <w:t xml:space="preserve">retomber dans la saisie manuelle, est une compétence que la reprise du premier semestre</w:t>
      </w:r>
      <w:r>
        <w:t xml:space="preserve"> </w:t>
      </w:r>
      <w:r>
        <w:t xml:space="preserve">n’avait pas eu l’occasion de mobiliser.</w:t>
      </w:r>
    </w:p>
    <w:bookmarkEnd w:id="85"/>
    <w:bookmarkEnd w:id="86"/>
    <w:bookmarkStart w:id="87" w:name="X743e9e8b4641d249535407cbe173e083d55b539"/>
    <w:p>
      <w:pPr>
        <w:pStyle w:val="Heading2"/>
      </w:pPr>
      <w:r>
        <w:t xml:space="preserve">3.5 Traitement des cas particuliers et arbitrages</w:t>
      </w:r>
    </w:p>
    <w:p>
      <w:pPr>
        <w:pStyle w:val="FirstParagraph"/>
      </w:pPr>
      <w:r>
        <w:t xml:space="preserve">Une chaîne pilotée par formules ne traite pas tout. Neuf tiers ont demandé une intervention</w:t>
      </w:r>
      <w:r>
        <w:t xml:space="preserve"> </w:t>
      </w:r>
      <w:r>
        <w:t xml:space="preserve">manuelle, répartis en quatre familles : trois adresses hors de France, que SPO refusait de</w:t>
      </w:r>
      <w:r>
        <w:t xml:space="preserve"> </w:t>
      </w:r>
      <w:r>
        <w:t xml:space="preserve">créer avec un pays étranger et qui ont donc été créées en France puis rectifiées dans l’ERP ;</w:t>
      </w:r>
      <w:r>
        <w:t xml:space="preserve"> </w:t>
      </w:r>
      <w:r>
        <w:t xml:space="preserve">trois tiers dont la nature était mal renseignée dans Vadimm, corrigée dans la feuille pivot</w:t>
      </w:r>
      <w:r>
        <w:t xml:space="preserve"> </w:t>
      </w:r>
      <w:r>
        <w:t xml:space="preserve">avant génération puisque la nature commande à la fois la clé d’unicité et la feuille de</w:t>
      </w:r>
      <w:r>
        <w:t xml:space="preserve"> </w:t>
      </w:r>
      <w:r>
        <w:t xml:space="preserve">sortie ; un tiers relevant d’une opération de dation, déjà présent dans SPO et retiré du</w:t>
      </w:r>
      <w:r>
        <w:t xml:space="preserve"> </w:t>
      </w:r>
      <w:r>
        <w:t xml:space="preserve">fichier ; et deux doublons portant deux adresses divergentes. L’annexe B donne le détail de</w:t>
      </w:r>
      <w:r>
        <w:t xml:space="preserve"> </w:t>
      </w:r>
      <w:r>
        <w:t xml:space="preserve">chaque cas et de l’arbitrage retenu.</w:t>
      </w:r>
    </w:p>
    <w:p>
      <w:pPr>
        <w:pStyle w:val="BodyText"/>
      </w:pPr>
      <w:r>
        <w:t xml:space="preserve">Ce dernier cas est le seul qui ait demandé un arbitrage véritable. Une même personne y</w:t>
      </w:r>
      <w:r>
        <w:t xml:space="preserve"> </w:t>
      </w:r>
      <w:r>
        <w:t xml:space="preserve">apparaissait deux fois avec deux adresses différentes, sans qu’il soit possible de déterminer</w:t>
      </w:r>
      <w:r>
        <w:t xml:space="preserve"> </w:t>
      </w:r>
      <w:r>
        <w:t xml:space="preserve">automatiquement laquelle retenir : la déduplication savait dire qu’il s’agissait de la même</w:t>
      </w:r>
      <w:r>
        <w:t xml:space="preserve"> </w:t>
      </w:r>
      <w:r>
        <w:t xml:space="preserve">personne, elle ne pouvait pas dire où cette personne habite aujourd’hui. Après vérification</w:t>
      </w:r>
      <w:r>
        <w:t xml:space="preserve"> </w:t>
      </w:r>
      <w:r>
        <w:t xml:space="preserve">des dates dans Vadimm, nous avons conservé l’adresse rattachée à la vente la plus récente.</w:t>
      </w:r>
    </w:p>
    <w:p>
      <w:pPr>
        <w:pStyle w:val="BodyText"/>
      </w:pPr>
      <w:r>
        <w:t xml:space="preserve">Ces neuf cas sont peu nombreux au regard des 1 434 tiers créés, et il serait tentant de les</w:t>
      </w:r>
      <w:r>
        <w:t xml:space="preserve"> </w:t>
      </w:r>
      <w:r>
        <w:t xml:space="preserve">présenter comme des détails. Je crois au contraire qu’ils délimitent précisément ce que</w:t>
      </w:r>
      <w:r>
        <w:t xml:space="preserve"> </w:t>
      </w:r>
      <w:r>
        <w:t xml:space="preserve">l’automatisation peut et ne peut pas faire. Les formules savent appliquer une règle ; elles</w:t>
      </w:r>
      <w:r>
        <w:t xml:space="preserve"> </w:t>
      </w:r>
      <w:r>
        <w:t xml:space="preserve">ne savent pas décider laquelle de deux adresses également plausibles est la bonne. La valeur</w:t>
      </w:r>
      <w:r>
        <w:t xml:space="preserve"> </w:t>
      </w:r>
      <w:r>
        <w:t xml:space="preserve">du fichier de travail n’est pas d’avoir supprimé la décision humaine, mais de l’avoir</w:t>
      </w:r>
      <w:r>
        <w:t xml:space="preserve"> </w:t>
      </w:r>
      <w:r>
        <w:t xml:space="preserve">concentrée sur une poignée de cas identifiés au lieu de la diluer sur 1 602 lignes. J’ai tenu</w:t>
      </w:r>
      <w:r>
        <w:t xml:space="preserve"> </w:t>
      </w:r>
      <w:r>
        <w:t xml:space="preserve">à documenter chacun de ces arbitrages dans la note de procédure, pour que la trace en subsiste</w:t>
      </w:r>
      <w:r>
        <w:t xml:space="preserve"> </w:t>
      </w:r>
      <w:r>
        <w:t xml:space="preserve">indépendamment de moi.</w:t>
      </w:r>
    </w:p>
    <w:bookmarkEnd w:id="87"/>
    <w:bookmarkStart w:id="91" w:name="X456fd8e6f45575d4ba8758ce3c88b742be63010"/>
    <w:p>
      <w:pPr>
        <w:pStyle w:val="Heading2"/>
      </w:pPr>
      <w:r>
        <w:t xml:space="preserve">3.6 Bilan de l’import et points de vigilance pour la suite</w:t>
      </w:r>
    </w:p>
    <w:p>
      <w:pPr>
        <w:pStyle w:val="FirstParagraph"/>
      </w:pPr>
      <w:r>
        <w:t xml:space="preserve">L’intégralité des imports CSV et des requêtes PATCH a été exécutée avec succès. Le tableau</w:t>
      </w:r>
      <w:r>
        <w:t xml:space="preserve"> </w:t>
      </w:r>
      <w:r>
        <w:t xml:space="preserve">suivant récapitule ce qui a été créé dans SPO.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40"/>
        <w:gridCol w:w="96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créé dans SPO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(personnes physiques et morales)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Téléphones (personnes physiques et morales)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(couples et sociétés)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Rôles « Client 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des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PATCH</w:t>
            </w:r>
          </w:p>
        </w:tc>
      </w:tr>
    </w:tbl>
    <w:p>
      <w:pPr>
        <w:pStyle w:val="BodyText"/>
      </w:pPr>
      <w:r>
        <w:t xml:space="preserve">Les 1 434 tiers créés se répartissent en</w:t>
      </w:r>
      <w:r>
        <w:t xml:space="preserve"> </w:t>
      </w:r>
      <w:r>
        <w:rPr>
          <w:bCs/>
          <w:b/>
        </w:rPr>
        <w:t xml:space="preserve">881 couples</w:t>
      </w:r>
      <w:r>
        <w:t xml:space="preserve">,</w:t>
      </w:r>
      <w:r>
        <w:t xml:space="preserve"> </w:t>
      </w:r>
      <w:r>
        <w:rPr>
          <w:bCs/>
          <w:b/>
        </w:rPr>
        <w:t xml:space="preserve">462 personnes physiques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91 personnes morales</w:t>
      </w:r>
      <w:r>
        <w:t xml:space="preserve">, répartition que représente la Figure 3.4. Cette structure n’est</w:t>
      </w:r>
      <w:r>
        <w:t xml:space="preserve"> </w:t>
      </w:r>
      <w:r>
        <w:t xml:space="preserve">pas un simple constat de volumétrie : elle justifie a posteriori l’attention portée au</w:t>
      </w:r>
      <w:r>
        <w:t xml:space="preserve"> </w:t>
      </w:r>
      <w:r>
        <w:t xml:space="preserve">traitement des couples, qui représentent plus de six tiers sur dix et concentrent à eux</w:t>
      </w:r>
      <w:r>
        <w:t xml:space="preserve"> </w:t>
      </w:r>
      <w:r>
        <w:t xml:space="preserve">seuls la contrainte de format qui a imposé le recours à l’API.</w:t>
      </w:r>
    </w:p>
    <w:p>
      <w:pPr>
        <w:pStyle w:val="CaptionedFigure"/>
      </w:pPr>
      <w:r>
        <w:drawing>
          <wp:inline>
            <wp:extent cx="4907280" cy="1972057"/>
            <wp:effectExtent b="0" l="0" r="0" t="0"/>
            <wp:docPr descr="Répartition des 1 434 tiers créés selon leur nature" title="" id="89" name="Picture"/>
            <a:graphic>
              <a:graphicData uri="http://schemas.openxmlformats.org/drawingml/2006/picture">
                <pic:pic>
                  <pic:nvPicPr>
                    <pic:cNvPr descr="figures/fig_3_4_repartition_nature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7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3.4 – Répartition des 1 434 tiers créés selon leur nature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d’une fiche de couple dans SPO, onglet des</w:t>
      </w:r>
      <w:r>
        <w:t xml:space="preserve"> </w:t>
      </w:r>
      <w:r>
        <w:t xml:space="preserve">représentants ouvert, montrant les deux personnes du couple et les coordonnées ajoutées</w:t>
      </w:r>
      <w:r>
        <w:t xml:space="preserve"> </w:t>
      </w:r>
      <w:r>
        <w:t xml:space="preserve">par requête PATCH sur l’une d’elles. Anonymiser les noms.</w:t>
      </w:r>
    </w:p>
    <w:p>
      <w:pPr>
        <w:pStyle w:val="FirstParagraph"/>
      </w:pPr>
      <w:r>
        <w:t xml:space="preserve">Au-delà du résultat, ce projet m’a laissé des points de vigilance qui valent bien au-delà du</w:t>
      </w:r>
      <w:r>
        <w:t xml:space="preserve"> </w:t>
      </w:r>
      <w:r>
        <w:t xml:space="preserve">cas de cet import.</w:t>
      </w:r>
    </w:p>
    <w:p>
      <w:pPr>
        <w:pStyle w:val="BodyText"/>
      </w:pPr>
      <w:r>
        <w:t xml:space="preserve">Quatre manipulations cassent le fichier sans produire le moindre message d’erreur : modifier</w:t>
      </w:r>
      <w:r>
        <w:t xml:space="preserve"> </w:t>
      </w:r>
      <w:r>
        <w:t xml:space="preserve">une feuille de sortie, dont le contenu est régénéré à chaque recalcul ; modifier les colonnes</w:t>
      </w:r>
      <w:r>
        <w:t xml:space="preserve"> </w:t>
      </w:r>
      <w:r>
        <w:t xml:space="preserve">calculées de la feuille pivot, qui portent la logique de rang et de numérotation ; insérer une</w:t>
      </w:r>
      <w:r>
        <w:t xml:space="preserve"> </w:t>
      </w:r>
      <w:r>
        <w:t xml:space="preserve">ligne au milieu d’une feuille, ce qui décale toutes les références ; et trier la feuille</w:t>
      </w:r>
      <w:r>
        <w:t xml:space="preserve"> </w:t>
      </w:r>
      <w:r>
        <w:t xml:space="preserve">pivot, dont la logique de rang est cumulative sur l’ordre des lignes. La note de procédure les</w:t>
      </w:r>
      <w:r>
        <w:t xml:space="preserve"> </w:t>
      </w:r>
      <w:r>
        <w:t xml:space="preserve">énonce avant même d’expliquer comment se servir du fichier.</w:t>
      </w:r>
    </w:p>
    <w:p>
      <w:pPr>
        <w:pStyle w:val="BodyText"/>
      </w:pPr>
      <w:r>
        <w:t xml:space="preserve">Les pièges de formule rencontrés relèvent tous du même défaut, et c’est l’enseignement</w:t>
      </w:r>
      <w:r>
        <w:t xml:space="preserve"> </w:t>
      </w:r>
      <w:r>
        <w:t xml:space="preserve">principal que j’en tire : dans une chaîne pilotée par formules, l’erreur ne se manifeste</w:t>
      </w:r>
      <w:r>
        <w:t xml:space="preserve"> </w:t>
      </w:r>
      <w:r>
        <w:t xml:space="preserve">presque jamais par un message d’erreur, mais par un compteur qui ne tombe pas juste. Chaîne</w:t>
      </w:r>
      <w:r>
        <w:t xml:space="preserve"> </w:t>
      </w:r>
      <w:r>
        <w:t xml:space="preserve">vide comptée comme une valeur, code de mois interprété comme des minutes, heures parasites</w:t>
      </w:r>
      <w:r>
        <w:t xml:space="preserve"> </w:t>
      </w:r>
      <w:r>
        <w:t xml:space="preserve">rendant différentes deux dates identiques à l’affichage, cellule vide confondue avec chaîne</w:t>
      </w:r>
      <w:r>
        <w:t xml:space="preserve"> </w:t>
      </w:r>
      <w:r>
        <w:t xml:space="preserve">vide : chacun a produit des compteurs surévalués, des clés de déduplication fausses ou des</w:t>
      </w:r>
      <w:r>
        <w:t xml:space="preserve"> </w:t>
      </w:r>
      <w:r>
        <w:t xml:space="preserve">faux positifs, et aucun n’a signalé quoi que ce soit. Le détail de ces quatre pièges et de</w:t>
      </w:r>
      <w:r>
        <w:t xml:space="preserve"> </w:t>
      </w:r>
      <w:r>
        <w:t xml:space="preserve">leur correction figure en annexe C.</w:t>
      </w:r>
    </w:p>
    <w:p>
      <w:pPr>
        <w:pStyle w:val="BodyText"/>
      </w:pPr>
      <w:r>
        <w:t xml:space="preserve">C’est pourquoi j’ai ajouté à la feuille pivot un panneau de contrôle affichant en permanence</w:t>
      </w:r>
      <w:r>
        <w:t xml:space="preserve"> </w:t>
      </w:r>
      <w:r>
        <w:t xml:space="preserve">les compteurs clés, que la procédure impose de vérifier avant tout export : c’est le seul</w:t>
      </w:r>
      <w:r>
        <w:t xml:space="preserve"> </w:t>
      </w:r>
      <w:r>
        <w:t xml:space="preserve">dispositif de détection dont je disposais. Un dernier point relève de la performance : avec</w:t>
      </w:r>
      <w:r>
        <w:t xml:space="preserve"> </w:t>
      </w:r>
      <w:r>
        <w:t xml:space="preserve">environ 60 000 cellules de formules, le recalcul automatique devient pénible, et la procédure</w:t>
      </w:r>
      <w:r>
        <w:t xml:space="preserve"> </w:t>
      </w:r>
      <w:r>
        <w:t xml:space="preserve">recommande de travailler en calcul manuel puis de forcer un recalcul complet avant chaque</w:t>
      </w:r>
      <w:r>
        <w:t xml:space="preserve"> </w:t>
      </w:r>
      <w:r>
        <w:t xml:space="preserve">export.</w:t>
      </w:r>
    </w:p>
    <w:p>
      <w:pPr>
        <w:pStyle w:val="BodyText"/>
      </w:pPr>
      <w:r>
        <w:t xml:space="preserve">Le référentiel commercial du groupe est ainsi reconstitué selon des règles écrites et</w:t>
      </w:r>
      <w:r>
        <w:t xml:space="preserve"> </w:t>
      </w:r>
      <w:r>
        <w:t xml:space="preserve">rejouables, plutôt que par une saisie dont la logique aurait été introuvable six mois plus</w:t>
      </w:r>
      <w:r>
        <w:t xml:space="preserve"> </w:t>
      </w:r>
      <w:r>
        <w:t xml:space="preserve">tard. Le chantier n’est pas clos pour autant : la reprise des historiques budgétaires reste</w:t>
      </w:r>
      <w:r>
        <w:t xml:space="preserve"> </w:t>
      </w:r>
      <w:r>
        <w:t xml:space="preserve">devant nous, et le fichier devra être rejoué avant la bascule définitive. Pendant que ce</w:t>
      </w:r>
      <w:r>
        <w:t xml:space="preserve"> </w:t>
      </w:r>
      <w:r>
        <w:t xml:space="preserve">socle se reconstruisait, les services ont continué d’avoir besoin de leurs indicateurs. Le</w:t>
      </w:r>
      <w:r>
        <w:t xml:space="preserve"> </w:t>
      </w:r>
      <w:r>
        <w:t xml:space="preserve">chapitre suivant présente ces missions filées, où se pose déjà, sur un terrain plus modeste,</w:t>
      </w:r>
      <w:r>
        <w:t xml:space="preserve"> </w:t>
      </w:r>
      <w:r>
        <w:t xml:space="preserve">la question qui commandera le projet de Data Science : où écrit-on une règle pour que tout le</w:t>
      </w:r>
      <w:r>
        <w:t xml:space="preserve"> </w:t>
      </w:r>
      <w:r>
        <w:t xml:space="preserve">monde consomme la même ?</w:t>
      </w:r>
    </w:p>
    <w:bookmarkEnd w:id="91"/>
    <w:bookmarkEnd w:id="92"/>
    <w:bookmarkStart w:id="104" w:name="Xdceae73f813d107133c1a860befb18e944da51e"/>
    <w:p>
      <w:pPr>
        <w:pStyle w:val="Heading1"/>
      </w:pPr>
      <w:r>
        <w:t xml:space="preserve">4 Maintien du système décisionnel et missions SI transverses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23"/>
        </w:numPr>
        <w:pStyle w:val="Compact"/>
      </w:pPr>
      <w:r>
        <w:t xml:space="preserve">4.1 Le maintien opérationnel du reporting</w:t>
      </w:r>
    </w:p>
    <w:p>
      <w:pPr>
        <w:numPr>
          <w:ilvl w:val="1"/>
          <w:numId w:val="1024"/>
        </w:numPr>
        <w:pStyle w:val="Compact"/>
      </w:pPr>
      <w:r>
        <w:t xml:space="preserve">4.1.1 Traduire un besoin métier en indicateur exploitable</w:t>
      </w:r>
    </w:p>
    <w:p>
      <w:pPr>
        <w:numPr>
          <w:ilvl w:val="1"/>
          <w:numId w:val="1024"/>
        </w:numPr>
        <w:pStyle w:val="Compact"/>
      </w:pPr>
      <w:r>
        <w:t xml:space="preserve">4.1.2 Une complexité métier : la règle de facturation juridique</w:t>
      </w:r>
    </w:p>
    <w:p>
      <w:pPr>
        <w:numPr>
          <w:ilvl w:val="1"/>
          <w:numId w:val="1024"/>
        </w:numPr>
        <w:pStyle w:val="Compact"/>
      </w:pPr>
      <w:r>
        <w:t xml:space="preserve">4.1.3 Contraintes techniques et modélisation dynamique</w:t>
      </w:r>
    </w:p>
    <w:p>
      <w:pPr>
        <w:numPr>
          <w:ilvl w:val="0"/>
          <w:numId w:val="1023"/>
        </w:numPr>
        <w:pStyle w:val="Compact"/>
      </w:pPr>
      <w:r>
        <w:t xml:space="preserve">4.2 Contribution à l’infrastructure : le déploiement du SSO</w:t>
      </w:r>
    </w:p>
    <w:p>
      <w:pPr>
        <w:numPr>
          <w:ilvl w:val="1"/>
          <w:numId w:val="1025"/>
        </w:numPr>
        <w:pStyle w:val="Compact"/>
      </w:pPr>
      <w:r>
        <w:t xml:space="preserve">4.2.1 Enjeux et réalisation opérationnelle</w:t>
      </w:r>
    </w:p>
    <w:p>
      <w:pPr>
        <w:numPr>
          <w:ilvl w:val="1"/>
          <w:numId w:val="1025"/>
        </w:numPr>
        <w:pStyle w:val="Compact"/>
      </w:pPr>
      <w:r>
        <w:t xml:space="preserve">4.2.2 Ce qu’une mission d’administration système apprend sur la donnée</w:t>
      </w:r>
    </w:p>
    <w:p>
      <w:pPr>
        <w:numPr>
          <w:ilvl w:val="0"/>
          <w:numId w:val="1023"/>
        </w:numPr>
        <w:pStyle w:val="Compact"/>
      </w:pPr>
      <w:r>
        <w:t xml:space="preserve">4.3 Ce que les missions filées coûtent et ce qu’elles rapportent</w:t>
      </w:r>
    </w:p>
    <w:p>
      <w:pPr>
        <w:pStyle w:val="FirstParagraph"/>
      </w:pPr>
      <w:r>
        <w:t xml:space="preserve">Si les deux chantiers de reprise ont constitué la majeure partie de mon année, j’ai</w:t>
      </w:r>
      <w:r>
        <w:t xml:space="preserve"> </w:t>
      </w:r>
      <w:r>
        <w:t xml:space="preserve">maintenu en parallèle mes activités de gestionnaire d’information, assurant la continuité</w:t>
      </w:r>
      <w:r>
        <w:t xml:space="preserve"> </w:t>
      </w:r>
      <w:r>
        <w:t xml:space="preserve">des missions de reporting initiées en Master 1, tout en prenant part à des projets</w:t>
      </w:r>
      <w:r>
        <w:t xml:space="preserve"> </w:t>
      </w:r>
      <w:r>
        <w:t xml:space="preserve">d’infrastructure système. Ce chapitre détaille ces activités filées, qui sont essentielles</w:t>
      </w:r>
      <w:r>
        <w:t xml:space="preserve"> </w:t>
      </w:r>
      <w:r>
        <w:t xml:space="preserve">au bon fonctionnement quotidien des services et qui ont couru sur les deux semestres.</w:t>
      </w:r>
    </w:p>
    <w:p>
      <w:pPr>
        <w:pStyle w:val="BodyText"/>
      </w:pPr>
      <w:r>
        <w:t xml:space="preserve">Elles méritent un chapitre propre pour une raison de fond, et pas seulement par souci</w:t>
      </w:r>
      <w:r>
        <w:t xml:space="preserve"> </w:t>
      </w:r>
      <w:r>
        <w:t xml:space="preserve">d’exhaustivité. C’est en les menant que j’ai rencontré, sous une forme miniature, le</w:t>
      </w:r>
      <w:r>
        <w:t xml:space="preserve"> </w:t>
      </w:r>
      <w:r>
        <w:t xml:space="preserve">problème qui commande tout le projet de Data Science exposé au chapitre 5 : lorsqu’une</w:t>
      </w:r>
      <w:r>
        <w:t xml:space="preserve"> </w:t>
      </w:r>
      <w:r>
        <w:t xml:space="preserve">règle de gestion n’a nulle part où être écrite, elle finit par être recalculée partout,</w:t>
      </w:r>
      <w:r>
        <w:t xml:space="preserve"> </w:t>
      </w:r>
      <w:r>
        <w:t xml:space="preserve">différemment.</w:t>
      </w:r>
    </w:p>
    <w:bookmarkStart w:id="99" w:name="le-maintien-opérationnel-du-reporting"/>
    <w:p>
      <w:pPr>
        <w:pStyle w:val="Heading2"/>
      </w:pPr>
      <w:r>
        <w:t xml:space="preserve">4.1 Le maintien opérationnel du reporting</w:t>
      </w:r>
    </w:p>
    <w:bookmarkStart w:id="93" w:name="X05df94605f462025b372ce5f403fe25687d7a7f"/>
    <w:p>
      <w:pPr>
        <w:pStyle w:val="Heading3"/>
      </w:pPr>
      <w:r>
        <w:t xml:space="preserve">4.1.1 Traduire un besoin métier en indicateur exploitable</w:t>
      </w:r>
    </w:p>
    <w:p>
      <w:pPr>
        <w:pStyle w:val="FirstParagraph"/>
      </w:pPr>
      <w:r>
        <w:t xml:space="preserve">Dans la continuité de ma première année d’alternance, j’ai conservé la charge de la</w:t>
      </w:r>
      <w:r>
        <w:t xml:space="preserve"> </w:t>
      </w:r>
      <w:r>
        <w:t xml:space="preserve">réalisation des demandes de reporting pour les différents services du groupe. Cette</w:t>
      </w:r>
      <w:r>
        <w:t xml:space="preserve"> </w:t>
      </w:r>
      <w:r>
        <w:t xml:space="preserve">mission consiste à traduire des besoins métiers parfois abstraits en indicateurs visuels</w:t>
      </w:r>
      <w:r>
        <w:t xml:space="preserve"> </w:t>
      </w:r>
      <w:r>
        <w:t xml:space="preserve">exploitables et fiables.</w:t>
      </w:r>
    </w:p>
    <w:p>
      <w:pPr>
        <w:pStyle w:val="BodyText"/>
      </w:pPr>
      <w:r>
        <w:t xml:space="preserve">Le travail commence rarement par une spécification. Il commence par une gêne exprimée en</w:t>
      </w:r>
      <w:r>
        <w:t xml:space="preserve"> </w:t>
      </w:r>
      <w:r>
        <w:t xml:space="preserve">réunion, ou par un tableau que quelqu’un refait à la main tous les mois. La première partie du</w:t>
      </w:r>
      <w:r>
        <w:t xml:space="preserve"> </w:t>
      </w:r>
      <w:r>
        <w:t xml:space="preserve">travail consiste donc à reformuler la demande jusqu’à ce qu’elle soit calculable : de quelles</w:t>
      </w:r>
      <w:r>
        <w:t xml:space="preserve"> </w:t>
      </w:r>
      <w:r>
        <w:t xml:space="preserve">lignes parle-t-on exactement, sur quelle période, et que fait-on des cas limites ? Cette</w:t>
      </w:r>
      <w:r>
        <w:t xml:space="preserve"> </w:t>
      </w:r>
      <w:r>
        <w:t xml:space="preserve">reformulation est la partie du reporting que je sous-estimais en arrivant, et c’est celle qui</w:t>
      </w:r>
      <w:r>
        <w:t xml:space="preserve"> </w:t>
      </w:r>
      <w:r>
        <w:t xml:space="preserve">décide de l’utilité du résultat.</w:t>
      </w:r>
    </w:p>
    <w:bookmarkEnd w:id="93"/>
    <w:bookmarkStart w:id="94" w:name="Xa6478f91aee1754976dd60831999213f5b1f3f9"/>
    <w:p>
      <w:pPr>
        <w:pStyle w:val="Heading3"/>
      </w:pPr>
      <w:r>
        <w:t xml:space="preserve">4.1.2 Une complexité métier : la règle de facturation juridique</w:t>
      </w:r>
    </w:p>
    <w:p>
      <w:pPr>
        <w:pStyle w:val="FirstParagraph"/>
      </w:pPr>
      <w:r>
        <w:t xml:space="preserve">Un exemple significatif de ce travail est la demande du service juridique. Le besoin</w:t>
      </w:r>
      <w:r>
        <w:t xml:space="preserve"> </w:t>
      </w:r>
      <w:r>
        <w:t xml:space="preserve">portait sur la visualisation et le suivi des commandes clients, afin de déterminer avec</w:t>
      </w:r>
      <w:r>
        <w:t xml:space="preserve"> </w:t>
      </w:r>
      <w:r>
        <w:t xml:space="preserve">précision ce qui doit être facturé ou non.</w:t>
      </w:r>
    </w:p>
    <w:p>
      <w:pPr>
        <w:pStyle w:val="BodyText"/>
      </w:pPr>
      <w:r>
        <w:t xml:space="preserve">La complexité de cette demande ne réside pas dans la donnée brute, mais dans l’application</w:t>
      </w:r>
      <w:r>
        <w:t xml:space="preserve"> </w:t>
      </w:r>
      <w:r>
        <w:t xml:space="preserve">d’une règle de gestion spécifique. Il s’agit d’une alternance conditionnelle stricte où la</w:t>
      </w:r>
      <w:r>
        <w:t xml:space="preserve"> </w:t>
      </w:r>
      <w:r>
        <w:t xml:space="preserve">première commande est payante, la deuxième est gratuite, la troisième est payante, et</w:t>
      </w:r>
      <w:r>
        <w:t xml:space="preserve"> </w:t>
      </w:r>
      <w:r>
        <w:t xml:space="preserve">ainsi de suite. Cette logique, simple à énoncer pour un humain, devient un véritable défi</w:t>
      </w:r>
      <w:r>
        <w:t xml:space="preserve"> </w:t>
      </w:r>
      <w:r>
        <w:t xml:space="preserve">lorsqu’il faut l’automatiser dans un outil décisionnel sans modifier l’architecture des</w:t>
      </w:r>
      <w:r>
        <w:t xml:space="preserve"> </w:t>
      </w:r>
      <w:r>
        <w:t xml:space="preserve">données.</w:t>
      </w:r>
    </w:p>
    <w:p>
      <w:pPr>
        <w:pStyle w:val="BodyText"/>
      </w:pPr>
      <w:r>
        <w:t xml:space="preserve">La difficulté tient à ce que la règle ne porte pas sur une ligne, mais sur la position</w:t>
      </w:r>
      <w:r>
        <w:t xml:space="preserve"> </w:t>
      </w:r>
      <w:r>
        <w:t xml:space="preserve">d’une ligne dans une séquence. Aucune colonne de la base ne contient l’information « c’est</w:t>
      </w:r>
      <w:r>
        <w:t xml:space="preserve"> </w:t>
      </w:r>
      <w:r>
        <w:t xml:space="preserve">la deuxième commande de ce client sur ce lot » : cette information n’existe que si on la</w:t>
      </w:r>
      <w:r>
        <w:t xml:space="preserve"> </w:t>
      </w:r>
      <w:r>
        <w:t xml:space="preserve">calcule, et elle change dès qu’une commande est ajoutée ou annulée.</w:t>
      </w:r>
    </w:p>
    <w:bookmarkEnd w:id="94"/>
    <w:bookmarkStart w:id="98" w:name="X42ce33e326bc7d5f05607c010e8140f1ed97c03"/>
    <w:p>
      <w:pPr>
        <w:pStyle w:val="Heading3"/>
      </w:pPr>
      <w:r>
        <w:t xml:space="preserve">4.1.3 Contraintes techniques et modélisation dynamique</w:t>
      </w:r>
    </w:p>
    <w:p>
      <w:pPr>
        <w:pStyle w:val="FirstParagraph"/>
      </w:pPr>
      <w:r>
        <w:t xml:space="preserve">Mon travail a consisté à trouver la manière la plus efficace d’implémenter cette logique</w:t>
      </w:r>
      <w:r>
        <w:t xml:space="preserve"> </w:t>
      </w:r>
      <w:r>
        <w:t xml:space="preserve">avec nos logiciels existants. En effet, je faisais face à des contraintes techniques fortes</w:t>
      </w:r>
      <w:r>
        <w:t xml:space="preserve"> </w:t>
      </w:r>
      <w:r>
        <w:t xml:space="preserve">qui limitaient mes options 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Pas de droits d’écriture sur la base.</w:t>
      </w:r>
      <w:r>
        <w:t xml:space="preserve"> </w:t>
      </w:r>
      <w:r>
        <w:t xml:space="preserve">Je ne possédais pas les droits nécessaires pour</w:t>
      </w:r>
      <w:r>
        <w:t xml:space="preserve"> </w:t>
      </w:r>
      <w:r>
        <w:t xml:space="preserve">créer des champs de statut directement dans la base de données SQL, ce qui interdisait la</w:t>
      </w:r>
      <w:r>
        <w:t xml:space="preserve"> </w:t>
      </w:r>
      <w:r>
        <w:t xml:space="preserve">solution la plus simple, à savoir matérialiser le statut au moment de l’enregistrement de</w:t>
      </w:r>
      <w:r>
        <w:t xml:space="preserve"> </w:t>
      </w:r>
      <w:r>
        <w:t xml:space="preserve">la commande.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Pas de colonne statique dans les fichiers sources.</w:t>
      </w:r>
      <w:r>
        <w:t xml:space="preserve"> </w:t>
      </w:r>
      <w:r>
        <w:t xml:space="preserve">Je ne pouvais pas non plus ajouter</w:t>
      </w:r>
      <w:r>
        <w:t xml:space="preserve"> </w:t>
      </w:r>
      <w:r>
        <w:t xml:space="preserve">de colonnes dans les fichiers Excel sources, car ces derniers étaient écrasés à chaque</w:t>
      </w:r>
      <w:r>
        <w:t xml:space="preserve"> </w:t>
      </w:r>
      <w:r>
        <w:t xml:space="preserve">mise à jour des données.</w:t>
      </w:r>
    </w:p>
    <w:p>
      <w:pPr>
        <w:pStyle w:val="FirstParagraph"/>
      </w:pPr>
      <w:r>
        <w:t xml:space="preserve">Ces deux contraintes se conjuguaient pour interdire toute solution qui aurait consisté à</w:t>
      </w:r>
      <w:r>
        <w:t xml:space="preserve"> </w:t>
      </w:r>
      <w:r>
        <w:rPr>
          <w:iCs/>
          <w:i/>
        </w:rPr>
        <w:t xml:space="preserve">stocker</w:t>
      </w:r>
      <w:r>
        <w:t xml:space="preserve"> </w:t>
      </w:r>
      <w:r>
        <w:t xml:space="preserve">le résultat. Il fallait donc concevoir une méthode de calcul dynamique.</w:t>
      </w:r>
      <w:r>
        <w:t xml:space="preserve"> </w:t>
      </w:r>
      <w:r>
        <w:t xml:space="preserve">L’objectif était de créer un algorithme au sein de MyReport qui, lors de la génération du</w:t>
      </w:r>
      <w:r>
        <w:t xml:space="preserve"> </w:t>
      </w:r>
      <w:r>
        <w:t xml:space="preserve">tableau, effectuait un traitement en temps réel. Le système devait d’abord identifier les</w:t>
      </w:r>
      <w:r>
        <w:t xml:space="preserve"> </w:t>
      </w:r>
      <w:r>
        <w:t xml:space="preserve">opérations et les lots, puis classer leurs commandes par ordre chronologique. Il attribuait</w:t>
      </w:r>
      <w:r>
        <w:t xml:space="preserve"> </w:t>
      </w:r>
      <w:r>
        <w:t xml:space="preserve">ensuite un rang à chaque commande et appliquait une condition logique, dont l’énoncé, lui,</w:t>
      </w:r>
      <w:r>
        <w:t xml:space="preserve"> </w:t>
      </w:r>
      <w:r>
        <w:t xml:space="preserve">ne dépend d’aucune date : si le rang est impair, le statut est « Payant » ; s’il est pair,</w:t>
      </w:r>
      <w:r>
        <w:t xml:space="preserve"> </w:t>
      </w:r>
      <w:r>
        <w:t xml:space="preserve">il est « Gratuit ».</w:t>
      </w:r>
      <w:r>
        <w:t xml:space="preserve"> </w:t>
      </w:r>
      <w:r>
        <w:t xml:space="preserve">La Figure 4.1 représente cette chaîne de calcul.</w:t>
      </w:r>
    </w:p>
    <w:p>
      <w:pPr>
        <w:pStyle w:val="CaptionedFigure"/>
      </w:pPr>
      <w:r>
        <w:drawing>
          <wp:inline>
            <wp:extent cx="5334000" cy="1902926"/>
            <wp:effectExtent b="0" l="0" r="0" t="0"/>
            <wp:docPr descr="La règle de facturation juridique traduite en calcul de rang, exécuté à chaque génération du tableau" title="" id="96" name="Picture"/>
            <a:graphic>
              <a:graphicData uri="http://schemas.openxmlformats.org/drawingml/2006/picture">
                <pic:pic>
                  <pic:nvPicPr>
                    <pic:cNvPr descr="figures/fig_4_1_regle_factur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– La règle de facturation juridique traduite en calcul de rang, exécuté à chaque génération du tableau</w:t>
      </w:r>
    </w:p>
    <w:p>
      <w:pPr>
        <w:pStyle w:val="BodyText"/>
      </w:pPr>
      <w:r>
        <w:t xml:space="preserve">Cette approche permet de répondre au besoin métier sans altérer la structure des données</w:t>
      </w:r>
      <w:r>
        <w:t xml:space="preserve"> </w:t>
      </w:r>
      <w:r>
        <w:t xml:space="preserve">sources, garantissant ainsi l’intégrité du système tout en offrant la flexibilité</w:t>
      </w:r>
      <w:r>
        <w:t xml:space="preserve"> </w:t>
      </w:r>
      <w:r>
        <w:t xml:space="preserve">demandée. Elle a cependant un coût qu’il faut assumer : la règle est recalculée à chaque</w:t>
      </w:r>
      <w:r>
        <w:t xml:space="preserve"> </w:t>
      </w:r>
      <w:r>
        <w:t xml:space="preserve">affichage, et elle n’existe nulle part ailleurs que dans la définition du tableau. Si un</w:t>
      </w:r>
      <w:r>
        <w:t xml:space="preserve"> </w:t>
      </w:r>
      <w:r>
        <w:t xml:space="preserve">autre service a besoin de la même notion, il devra la redemander, et rien ne garantit</w:t>
      </w:r>
      <w:r>
        <w:t xml:space="preserve"> </w:t>
      </w:r>
      <w:r>
        <w:t xml:space="preserve">qu’elle sera implantée à l’identique.</w:t>
      </w:r>
    </w:p>
    <w:p>
      <w:pPr>
        <w:pStyle w:val="BodyText"/>
      </w:pPr>
      <w:r>
        <w:t xml:space="preserve">C’est exactement le problème que le projet de Data Science résoudra, au chapitre 5, en</w:t>
      </w:r>
      <w:r>
        <w:t xml:space="preserve"> </w:t>
      </w:r>
      <w:r>
        <w:t xml:space="preserve">écrivant les définitions partagées une seule fois dans des vues de base de données. La</w:t>
      </w:r>
      <w:r>
        <w:t xml:space="preserve"> </w:t>
      </w:r>
      <w:r>
        <w:t xml:space="preserve">contrainte rencontrée ici en miniature m’a rendue attentive à cette question bien avant de</w:t>
      </w:r>
      <w:r>
        <w:t xml:space="preserve"> </w:t>
      </w:r>
      <w:r>
        <w:t xml:space="preserve">concevoir l’architecture du Copilote Financier.</w:t>
      </w:r>
    </w:p>
    <w:bookmarkEnd w:id="98"/>
    <w:bookmarkEnd w:id="99"/>
    <w:bookmarkStart w:id="102" w:name="X1e80935acf281dce34ec1b6b0e982b689787001"/>
    <w:p>
      <w:pPr>
        <w:pStyle w:val="Heading2"/>
      </w:pPr>
      <w:r>
        <w:t xml:space="preserve">4.2 Contribution à l’infrastructure : le déploiement du SSO</w:t>
      </w:r>
    </w:p>
    <w:bookmarkStart w:id="100" w:name="enjeux-et-réalisation-opérationnelle"/>
    <w:p>
      <w:pPr>
        <w:pStyle w:val="Heading3"/>
      </w:pPr>
      <w:r>
        <w:t xml:space="preserve">4.2.1 Enjeux et réalisation opérationnelle</w:t>
      </w:r>
    </w:p>
    <w:p>
      <w:pPr>
        <w:pStyle w:val="FirstParagraph"/>
      </w:pPr>
      <w:r>
        <w:t xml:space="preserve">En parallèle de mes missions principales, j’ai collaboré avec l’administratrice des systèmes</w:t>
      </w:r>
      <w:r>
        <w:t xml:space="preserve"> </w:t>
      </w:r>
      <w:r>
        <w:t xml:space="preserve">et outils SI sur un projet d’infrastructure transverse : le déploiement du SSO</w:t>
      </w:r>
      <w:r>
        <w:t xml:space="preserve"> </w:t>
      </w:r>
      <w:r>
        <w:t xml:space="preserve">(</w:t>
      </w:r>
      <w:r>
        <w:rPr>
          <w:iCs/>
          <w:i/>
        </w:rPr>
        <w:t xml:space="preserve">Single Sign-On</w:t>
      </w:r>
      <w:r>
        <w:t xml:space="preserve">), technologie permettant d’accéder à plusieurs applications avec une seule</w:t>
      </w:r>
      <w:r>
        <w:t xml:space="preserve"> </w:t>
      </w:r>
      <w:r>
        <w:t xml:space="preserve">authentification. L’enjeu était double pour le groupe : réduire le nombre de mots de passe à</w:t>
      </w:r>
      <w:r>
        <w:t xml:space="preserve"> </w:t>
      </w:r>
      <w:r>
        <w:t xml:space="preserve">mémoriser et renforcer la sécurité des accès aux outils sensibles.</w:t>
      </w:r>
    </w:p>
    <w:p>
      <w:pPr>
        <w:pStyle w:val="BodyText"/>
      </w:pPr>
      <w:r>
        <w:t xml:space="preserve">Mon rôle a été opérationnel et pédagogique. J’ai pris en charge le déploiement sur les postes</w:t>
      </w:r>
      <w:r>
        <w:t xml:space="preserve"> </w:t>
      </w:r>
      <w:r>
        <w:t xml:space="preserve">de travail de deux périmètres, l’agence de Perpignan et le service financier du siège :</w:t>
      </w:r>
      <w:r>
        <w:t xml:space="preserve"> </w:t>
      </w:r>
      <w:r>
        <w:t xml:space="preserve">installation du connecteur, vérification de la synchronisation avec l’annuaire d’entreprise,</w:t>
      </w:r>
      <w:r>
        <w:t xml:space="preserve"> </w:t>
      </w:r>
      <w:r>
        <w:t xml:space="preserve">et accompagnement des utilisateurs lors de leur première connexion. Nous avons volontairement</w:t>
      </w:r>
      <w:r>
        <w:t xml:space="preserve"> </w:t>
      </w:r>
      <w:r>
        <w:t xml:space="preserve">commencé par ces deux périmètres avant d’envisager une généralisation, afin de mesurer les</w:t>
      </w:r>
      <w:r>
        <w:t xml:space="preserve"> </w:t>
      </w:r>
      <w:r>
        <w:t xml:space="preserve">difficultés réelles sur un échantillon restreint.</w:t>
      </w:r>
    </w:p>
    <w:bookmarkEnd w:id="100"/>
    <w:bookmarkStart w:id="101" w:name="Xcc0d63e7173ba14da464ae264233da08f599074"/>
    <w:p>
      <w:pPr>
        <w:pStyle w:val="Heading3"/>
      </w:pPr>
      <w:r>
        <w:t xml:space="preserve">4.2.2 Ce qu’une mission d’administration système apprend sur la donnée</w:t>
      </w:r>
    </w:p>
    <w:p>
      <w:pPr>
        <w:pStyle w:val="FirstParagraph"/>
      </w:pPr>
      <w:r>
        <w:t xml:space="preserve">Cette expérience m’a fait appréhender les problématiques de gestion de parc et de gouvernance</w:t>
      </w:r>
      <w:r>
        <w:t xml:space="preserve"> </w:t>
      </w:r>
      <w:r>
        <w:t xml:space="preserve">des accès, souvent invisibles mais cruciales pour la cohérence du système d’information. Elle</w:t>
      </w:r>
      <w:r>
        <w:t xml:space="preserve"> </w:t>
      </w:r>
      <w:r>
        <w:t xml:space="preserve">m’a surtout appris quelque chose que je n’attendais pas d’une mission de déploiement.</w:t>
      </w:r>
      <w:r>
        <w:t xml:space="preserve"> </w:t>
      </w:r>
      <w:r>
        <w:t xml:space="preserve">L’annuaire d’entreprise sur lequel repose le SSO est un référentiel d’identités : il répond,</w:t>
      </w:r>
      <w:r>
        <w:t xml:space="preserve"> </w:t>
      </w:r>
      <w:r>
        <w:t xml:space="preserve">pour les collaborateurs, à la question que je me posais pour les clients au chapitre 3, à</w:t>
      </w:r>
      <w:r>
        <w:t xml:space="preserve"> </w:t>
      </w:r>
      <w:r>
        <w:t xml:space="preserve">savoir comment garantir qu’une personne n’existe qu’une fois et qu’on sait la reconnaître.</w:t>
      </w:r>
      <w:r>
        <w:t xml:space="preserve"> </w:t>
      </w:r>
      <w:r>
        <w:t xml:space="preserve">Voir ce problème résolu du côté de l’infrastructure, par un annuaire centralisé et une</w:t>
      </w:r>
      <w:r>
        <w:t xml:space="preserve"> </w:t>
      </w:r>
      <w:r>
        <w:t xml:space="preserve">synchronisation automatique, éclaire par contraste la situation côté données de gestion, où</w:t>
      </w:r>
      <w:r>
        <w:t xml:space="preserve"> </w:t>
      </w:r>
      <w:r>
        <w:t xml:space="preserve">aucun référentiel de ce type n’existait avant la reprise des tiers.</w:t>
      </w:r>
    </w:p>
    <w:p>
      <w:pPr>
        <w:pStyle w:val="BodyText"/>
      </w:pPr>
      <w:r>
        <w:t xml:space="preserve">L’accompagnement des utilisateurs a été instructif à sa manière : une solution techniquement</w:t>
      </w:r>
      <w:r>
        <w:t xml:space="preserve"> </w:t>
      </w:r>
      <w:r>
        <w:t xml:space="preserve">correcte qui déroute l’utilisateur au moment de s’en servir n’est pas une solution livrée. Ce</w:t>
      </w:r>
      <w:r>
        <w:t xml:space="preserve"> </w:t>
      </w:r>
      <w:r>
        <w:t xml:space="preserve">constat, fait ici sur une fenêtre d’authentification, s’est retrouvé mot pour mot au moment de</w:t>
      </w:r>
      <w:r>
        <w:t xml:space="preserve"> </w:t>
      </w:r>
      <w:r>
        <w:t xml:space="preserve">livrer l’application d’aide à la décision.</w:t>
      </w:r>
    </w:p>
    <w:bookmarkEnd w:id="101"/>
    <w:bookmarkEnd w:id="102"/>
    <w:bookmarkStart w:id="103" w:name="X1c632cf57cfe9d1b3023b7e14056b1f78d19a59"/>
    <w:p>
      <w:pPr>
        <w:pStyle w:val="Heading2"/>
      </w:pPr>
      <w:r>
        <w:t xml:space="preserve">4.3 Ce que les missions filées coûtent et ce qu’elles rapportent</w:t>
      </w:r>
    </w:p>
    <w:p>
      <w:pPr>
        <w:pStyle w:val="FirstParagraph"/>
      </w:pPr>
      <w:r>
        <w:t xml:space="preserve">Il serait malhonnête de ne pas dire ce que ces missions transverses ont coûté : elles</w:t>
      </w:r>
      <w:r>
        <w:t xml:space="preserve"> </w:t>
      </w:r>
      <w:r>
        <w:t xml:space="preserve">fragmentent le temps, et un chantier de reprise interrompu trois fois dans la journée pour</w:t>
      </w:r>
      <w:r>
        <w:t xml:space="preserve"> </w:t>
      </w:r>
      <w:r>
        <w:t xml:space="preserve">une demande de tableau de bord avance moins vite qu’un chantier mené d’un trait. Elles</w:t>
      </w:r>
      <w:r>
        <w:t xml:space="preserve"> </w:t>
      </w:r>
      <w:r>
        <w:t xml:space="preserve">rapportent cependant trois choses que je n’aurais pas obtenues autrement.</w:t>
      </w:r>
    </w:p>
    <w:p>
      <w:pPr>
        <w:pStyle w:val="BodyText"/>
      </w:pPr>
      <w:r>
        <w:t xml:space="preserve">La première est une</w:t>
      </w:r>
      <w:r>
        <w:t xml:space="preserve"> </w:t>
      </w:r>
      <w:r>
        <w:rPr>
          <w:bCs/>
          <w:b/>
        </w:rPr>
        <w:t xml:space="preserve">connaissance du métier</w:t>
      </w:r>
      <w:r>
        <w:t xml:space="preserve"> </w:t>
      </w:r>
      <w:r>
        <w:t xml:space="preserve">que la seule fréquentation des bases ne donne</w:t>
      </w:r>
      <w:r>
        <w:t xml:space="preserve"> </w:t>
      </w:r>
      <w:r>
        <w:t xml:space="preserve">pas : on ne comprend pas ce qu’est une commande gratuite en lisant une table, on le comprend</w:t>
      </w:r>
      <w:r>
        <w:t xml:space="preserve"> </w:t>
      </w:r>
      <w:r>
        <w:t xml:space="preserve">en écoutant le service juridique expliquer pourquoi la règle existe. La deuxième est une</w:t>
      </w:r>
      <w:r>
        <w:t xml:space="preserve"> </w:t>
      </w:r>
      <w:r>
        <w:rPr>
          <w:bCs/>
          <w:b/>
        </w:rPr>
        <w:t xml:space="preserve">crédibilité</w:t>
      </w:r>
      <w:r>
        <w:t xml:space="preserve"> </w:t>
      </w:r>
      <w:r>
        <w:t xml:space="preserve">auprès des services : avoir répondu à leurs demandes courantes pendant un an</w:t>
      </w:r>
      <w:r>
        <w:t xml:space="preserve"> </w:t>
      </w:r>
      <w:r>
        <w:t xml:space="preserve">est ce qui a rendu possible, au second semestre, un échange direct avec la direction</w:t>
      </w:r>
      <w:r>
        <w:t xml:space="preserve"> </w:t>
      </w:r>
      <w:r>
        <w:t xml:space="preserve">financière sur ses besoins d’aide à la décision. La troisième est une</w:t>
      </w:r>
      <w:r>
        <w:t xml:space="preserve"> </w:t>
      </w:r>
      <w:r>
        <w:rPr>
          <w:bCs/>
          <w:b/>
        </w:rPr>
        <w:t xml:space="preserve">vision de</w:t>
      </w:r>
      <w:r>
        <w:rPr>
          <w:bCs/>
          <w:b/>
        </w:rPr>
        <w:t xml:space="preserve"> </w:t>
      </w:r>
      <w:r>
        <w:rPr>
          <w:bCs/>
          <w:b/>
        </w:rPr>
        <w:t xml:space="preserve">l’architecture</w:t>
      </w:r>
      <w:r>
        <w:t xml:space="preserve"> </w:t>
      </w:r>
      <w:r>
        <w:t xml:space="preserve">du système d’information dans son ensemble, depuis l’authentification des</w:t>
      </w:r>
      <w:r>
        <w:t xml:space="preserve"> </w:t>
      </w:r>
      <w:r>
        <w:t xml:space="preserve">postes jusqu’aux tableaux de bord. C’est elle qui m’a permis de concevoir le projet du second</w:t>
      </w:r>
      <w:r>
        <w:t xml:space="preserve"> </w:t>
      </w:r>
      <w:r>
        <w:t xml:space="preserve">semestre comme une chaîne complète plutôt que comme une suite de modèles.</w:t>
      </w:r>
    </w:p>
    <w:p>
      <w:pPr>
        <w:pStyle w:val="BodyText"/>
      </w:pPr>
      <w:r>
        <w:t xml:space="preserve">Ces solutions restent des contournements, et il faut le reconnaître : une règle recalculée à</w:t>
      </w:r>
      <w:r>
        <w:t xml:space="preserve"> </w:t>
      </w:r>
      <w:r>
        <w:t xml:space="preserve">chaque affichage tient tant que personne d’autre n’en a besoin. Elles auront néanmoins</w:t>
      </w:r>
      <w:r>
        <w:t xml:space="preserve"> </w:t>
      </w:r>
      <w:r>
        <w:t xml:space="preserve">maintenu le système décisionnel en état de marche pendant les douze mois qu’a duré la</w:t>
      </w:r>
      <w:r>
        <w:t xml:space="preserve"> </w:t>
      </w:r>
      <w:r>
        <w:t xml:space="preserve">reconstruction du socle. Ce socle étant désormais fiable, le chapitre suivant expose ce qu’il</w:t>
      </w:r>
      <w:r>
        <w:t xml:space="preserve"> </w:t>
      </w:r>
      <w:r>
        <w:t xml:space="preserve">devient possible d’en faire.</w:t>
      </w:r>
    </w:p>
    <w:bookmarkEnd w:id="103"/>
    <w:bookmarkEnd w:id="104"/>
    <w:bookmarkStart w:id="150" w:name="le-copilote-financier"/>
    <w:p>
      <w:pPr>
        <w:pStyle w:val="Heading1"/>
      </w:pPr>
      <w:r>
        <w:t xml:space="preserve">5 Le Copilote Financier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27"/>
        </w:numPr>
        <w:pStyle w:val="Compact"/>
      </w:pPr>
      <w:r>
        <w:t xml:space="preserve">5.1 Contexte</w:t>
      </w:r>
    </w:p>
    <w:p>
      <w:pPr>
        <w:numPr>
          <w:ilvl w:val="1"/>
          <w:numId w:val="1028"/>
        </w:numPr>
        <w:pStyle w:val="Compact"/>
      </w:pPr>
      <w:r>
        <w:t xml:space="preserve">5.1.1 Problème métier</w:t>
      </w:r>
    </w:p>
    <w:p>
      <w:pPr>
        <w:numPr>
          <w:ilvl w:val="2"/>
          <w:numId w:val="1029"/>
        </w:numPr>
        <w:pStyle w:val="Compact"/>
      </w:pPr>
      <w:r>
        <w:t xml:space="preserve">5.1.1.1 Besoins par axe et exigences non fonctionnelles</w:t>
      </w:r>
    </w:p>
    <w:p>
      <w:pPr>
        <w:numPr>
          <w:ilvl w:val="1"/>
          <w:numId w:val="1028"/>
        </w:numPr>
        <w:pStyle w:val="Compact"/>
      </w:pPr>
      <w:r>
        <w:t xml:space="preserve">5.1.2 Objectifs du dashboard</w:t>
      </w:r>
    </w:p>
    <w:p>
      <w:pPr>
        <w:numPr>
          <w:ilvl w:val="0"/>
          <w:numId w:val="1027"/>
        </w:numPr>
        <w:pStyle w:val="Compact"/>
      </w:pPr>
      <w:r>
        <w:t xml:space="preserve">5.2 Données disponibles</w:t>
      </w:r>
    </w:p>
    <w:p>
      <w:pPr>
        <w:numPr>
          <w:ilvl w:val="1"/>
          <w:numId w:val="1030"/>
        </w:numPr>
        <w:pStyle w:val="Compact"/>
      </w:pPr>
      <w:r>
        <w:t xml:space="preserve">5.2.1 Données internes</w:t>
      </w:r>
    </w:p>
    <w:p>
      <w:pPr>
        <w:numPr>
          <w:ilvl w:val="1"/>
          <w:numId w:val="1030"/>
        </w:numPr>
        <w:pStyle w:val="Compact"/>
      </w:pPr>
      <w:r>
        <w:t xml:space="preserve">5.2.2 Données externes</w:t>
      </w:r>
    </w:p>
    <w:p>
      <w:pPr>
        <w:numPr>
          <w:ilvl w:val="0"/>
          <w:numId w:val="1027"/>
        </w:numPr>
        <w:pStyle w:val="Compact"/>
      </w:pPr>
      <w:r>
        <w:t xml:space="preserve">5.3 Architecture technique</w:t>
      </w:r>
    </w:p>
    <w:p>
      <w:pPr>
        <w:numPr>
          <w:ilvl w:val="0"/>
          <w:numId w:val="1027"/>
        </w:numPr>
        <w:pStyle w:val="Compact"/>
      </w:pPr>
      <w:r>
        <w:t xml:space="preserve">5.4 Notebooks et résultats</w:t>
      </w:r>
    </w:p>
    <w:p>
      <w:pPr>
        <w:numPr>
          <w:ilvl w:val="1"/>
          <w:numId w:val="1031"/>
        </w:numPr>
        <w:pStyle w:val="Compact"/>
      </w:pPr>
      <w:r>
        <w:t xml:space="preserve">5.4.1 Exploration et nettoyage des données brutes</w:t>
      </w:r>
    </w:p>
    <w:p>
      <w:pPr>
        <w:numPr>
          <w:ilvl w:val="1"/>
          <w:numId w:val="1031"/>
        </w:numPr>
        <w:pStyle w:val="Compact"/>
      </w:pPr>
      <w:r>
        <w:t xml:space="preserve">5.4.2 SQL et Spark</w:t>
      </w:r>
    </w:p>
    <w:p>
      <w:pPr>
        <w:numPr>
          <w:ilvl w:val="1"/>
          <w:numId w:val="1031"/>
        </w:numPr>
        <w:pStyle w:val="Compact"/>
      </w:pPr>
      <w:r>
        <w:t xml:space="preserve">5.4.3 Axe A : risque de dérive de marge</w:t>
      </w:r>
    </w:p>
    <w:p>
      <w:pPr>
        <w:numPr>
          <w:ilvl w:val="1"/>
          <w:numId w:val="1031"/>
        </w:numPr>
        <w:pStyle w:val="Compact"/>
      </w:pPr>
      <w:r>
        <w:t xml:space="preserve">5.4.4 Axe B : vitesse d’écoulement</w:t>
      </w:r>
    </w:p>
    <w:p>
      <w:pPr>
        <w:numPr>
          <w:ilvl w:val="1"/>
          <w:numId w:val="1031"/>
        </w:numPr>
        <w:pStyle w:val="Compact"/>
      </w:pPr>
      <w:r>
        <w:t xml:space="preserve">5.4.5 Axe C : prix du stock</w:t>
      </w:r>
    </w:p>
    <w:p>
      <w:pPr>
        <w:numPr>
          <w:ilvl w:val="1"/>
          <w:numId w:val="1031"/>
        </w:numPr>
        <w:pStyle w:val="Compact"/>
      </w:pPr>
      <w:r>
        <w:t xml:space="preserve">5.4.6 Signaux faibles (texte et réseau)</w:t>
      </w:r>
    </w:p>
    <w:p>
      <w:pPr>
        <w:numPr>
          <w:ilvl w:val="0"/>
          <w:numId w:val="1027"/>
        </w:numPr>
        <w:pStyle w:val="Compact"/>
      </w:pPr>
      <w:r>
        <w:t xml:space="preserve">5.5 Plateforme Streamlit</w:t>
      </w:r>
    </w:p>
    <w:p>
      <w:pPr>
        <w:numPr>
          <w:ilvl w:val="0"/>
          <w:numId w:val="1027"/>
        </w:numPr>
        <w:pStyle w:val="Compact"/>
      </w:pPr>
      <w:r>
        <w:t xml:space="preserve">5.6 Périmètre et limites</w:t>
      </w:r>
    </w:p>
    <w:p>
      <w:pPr>
        <w:numPr>
          <w:ilvl w:val="0"/>
          <w:numId w:val="1027"/>
        </w:numPr>
        <w:pStyle w:val="Compact"/>
      </w:pPr>
      <w:r>
        <w:t xml:space="preserve">5.7 Conclusion du chapitre</w:t>
      </w:r>
    </w:p>
    <w:p>
      <w:pPr>
        <w:pStyle w:val="FirstParagraph"/>
      </w:pPr>
      <w:r>
        <w:t xml:space="preserve">Ce chapitre présente le projet de Data Science annoncé à la fin du premier semestre : le</w:t>
      </w:r>
      <w:r>
        <w:t xml:space="preserve"> </w:t>
      </w:r>
      <w:r>
        <w:t xml:space="preserve">« Copilote Financier », un outil d’aide à la décision construit sur les données de gestion du</w:t>
      </w:r>
      <w:r>
        <w:t xml:space="preserve"> </w:t>
      </w:r>
      <w:r>
        <w:t xml:space="preserve">groupe Angelotti pour sa direction financière. Le périmètre envisagé au départ, la prédiction de</w:t>
      </w:r>
      <w:r>
        <w:t xml:space="preserve"> </w:t>
      </w:r>
      <w:r>
        <w:t xml:space="preserve">la rentabilité des opérations d’aménagement, a été redéfini en cours de projet : la prédiction</w:t>
      </w:r>
      <w:r>
        <w:t xml:space="preserve"> </w:t>
      </w:r>
      <w:r>
        <w:t xml:space="preserve">de la marge à terminaison subsiste comme premier axe de travail, mais le besoin exprimé par la</w:t>
      </w:r>
      <w:r>
        <w:t xml:space="preserve"> </w:t>
      </w:r>
      <w:r>
        <w:t xml:space="preserve">direction financière l’a élargie à deux autres questions, et la restitution a finalement été</w:t>
      </w:r>
      <w:r>
        <w:t xml:space="preserve"> </w:t>
      </w:r>
      <w:r>
        <w:t xml:space="preserve">restreinte à la promotion immobilière. J’y expose d’abord le besoin métier tel qu’il m’a été</w:t>
      </w:r>
      <w:r>
        <w:t xml:space="preserve"> </w:t>
      </w:r>
      <w:r>
        <w:t xml:space="preserve">formulé, puis les données dont je disposais réellement, l’architecture retenue pour les rendre</w:t>
      </w:r>
      <w:r>
        <w:t xml:space="preserve"> </w:t>
      </w:r>
      <w:r>
        <w:t xml:space="preserve">exploitables, les trois axes d’analyse et leurs résultats, la plateforme qui les restitue aux</w:t>
      </w:r>
      <w:r>
        <w:t xml:space="preserve"> </w:t>
      </w:r>
      <w:r>
        <w:t xml:space="preserve">contrôleurs de gestion, et enfin les limites que je considère comme faisant partie du livrable.</w:t>
      </w:r>
    </w:p>
    <w:p>
      <w:pPr>
        <w:pStyle w:val="BodyText"/>
      </w:pPr>
      <w:r>
        <w:t xml:space="preserve">Une décision a orienté tout le projet : la taille des données disponibles, 267 opérations et</w:t>
      </w:r>
      <w:r>
        <w:t xml:space="preserve"> </w:t>
      </w:r>
      <w:r>
        <w:t xml:space="preserve">quatre exports totalisant 32 Mo, ne justifie pas un empilement de modèles. J’ai donc retenu un</w:t>
      </w:r>
      <w:r>
        <w:t xml:space="preserve"> </w:t>
      </w:r>
      <w:r>
        <w:t xml:space="preserve">petit nombre de méthodes simples, chacune choisie pour une question précise et validée</w:t>
      </w:r>
      <w:r>
        <w:t xml:space="preserve"> </w:t>
      </w:r>
      <w:r>
        <w:t xml:space="preserve">sérieusement, plutôt qu’un catalogue d’algorithmes dont aucun n’aurait pu être correctement</w:t>
      </w:r>
      <w:r>
        <w:t xml:space="preserve"> </w:t>
      </w:r>
      <w:r>
        <w:t xml:space="preserve">évalué à cette échelle.</w:t>
      </w:r>
    </w:p>
    <w:bookmarkStart w:id="108" w:name="contexte"/>
    <w:p>
      <w:pPr>
        <w:pStyle w:val="Heading2"/>
      </w:pPr>
      <w:r>
        <w:t xml:space="preserve">5.1 Contexte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Chaque opération de promotion y est portée par une société</w:t>
      </w:r>
      <w:r>
        <w:t xml:space="preserve"> </w:t>
      </w:r>
      <w:r>
        <w:t xml:space="preserve">dédiée et vit sur un cycle long : un budget est arrêté au moment de l’engagement, puis le</w:t>
      </w:r>
      <w:r>
        <w:t xml:space="preserve"> </w:t>
      </w:r>
      <w:r>
        <w:t xml:space="preserve">chantier et la commercialisation le font dériver au fil des mois. Les appels d’offres</w:t>
      </w:r>
      <w:r>
        <w:t xml:space="preserve"> </w:t>
      </w:r>
      <w:r>
        <w:t xml:space="preserve">reviennent plus chers qu’anticipé, des acquéreurs se désistent, le rythme de vente</w:t>
      </w:r>
      <w:r>
        <w:t xml:space="preserve"> </w:t>
      </w:r>
      <w:r>
        <w:t xml:space="preserve">ralentit sous l’effet de la conjoncture.</w:t>
      </w:r>
    </w:p>
    <w:p>
      <w:pPr>
        <w:pStyle w:val="BodyText"/>
      </w:pPr>
      <w:r>
        <w:t xml:space="preserve">La direction financière suit ces dérives opération par opération, sur tableurs, sans vision</w:t>
      </w:r>
      <w:r>
        <w:t xml:space="preserve"> </w:t>
      </w:r>
      <w:r>
        <w:t xml:space="preserve">transverse. Personne ne dispose d’une vue d’ensemble permettant de dire, à un instant donné,</w:t>
      </w:r>
      <w:r>
        <w:t xml:space="preserve"> </w:t>
      </w:r>
      <w:r>
        <w:t xml:space="preserve">quelles opérations méritent l’attention en priorité. C’est ce manque qui a motivé le projet.</w:t>
      </w:r>
    </w:p>
    <w:bookmarkStart w:id="106" w:name="problème-métier"/>
    <w:p>
      <w:pPr>
        <w:pStyle w:val="Heading3"/>
      </w:pPr>
      <w:r>
        <w:t xml:space="preserve">5.1.1 Problème métier</w:t>
      </w:r>
    </w:p>
    <w:p>
      <w:pPr>
        <w:pStyle w:val="FirstParagraph"/>
      </w:pPr>
      <w:r>
        <w:t xml:space="preserve">Trois questions structurent les revues de gestion, et les tableurs actuels n’y répondent pas.</w:t>
      </w:r>
    </w:p>
    <w:p>
      <w:pPr>
        <w:pStyle w:val="BodyText"/>
      </w:pPr>
      <w:r>
        <w:t xml:space="preserve">La première porte sur la</w:t>
      </w:r>
      <w:r>
        <w:t xml:space="preserve"> </w:t>
      </w:r>
      <w:r>
        <w:rPr>
          <w:bCs/>
          <w:b/>
        </w:rPr>
        <w:t xml:space="preserve">marge</w:t>
      </w:r>
      <w:r>
        <w:t xml:space="preserve"> </w:t>
      </w:r>
      <w:r>
        <w:t xml:space="preserve">: quelles opérations examiner en priorité parce que leur</w:t>
      </w:r>
      <w:r>
        <w:t xml:space="preserve"> </w:t>
      </w:r>
      <w:r>
        <w:t xml:space="preserve">marge d’engagement dérive, sur quels postes et pour combien d’euros ? Y répondre suppose de</w:t>
      </w:r>
      <w:r>
        <w:t xml:space="preserve"> </w:t>
      </w:r>
      <w:r>
        <w:t xml:space="preserve">comparer des dizaines d’opérations entre elles, ce qu’aucun tableur individuel ne permet.</w:t>
      </w:r>
    </w:p>
    <w:p>
      <w:pPr>
        <w:pStyle w:val="BodyText"/>
      </w:pPr>
      <w:r>
        <w:t xml:space="preserve">La deuxième porte sur le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: quel volume de réservations budgéter pour 2026 ?</w:t>
      </w:r>
      <w:r>
        <w:t xml:space="preserve"> </w:t>
      </w:r>
      <w:r>
        <w:t xml:space="preserve">La période récente a montré la sensibilité de la demande au coût du crédit, le taux moyen des</w:t>
      </w:r>
      <w:r>
        <w:t xml:space="preserve"> </w:t>
      </w:r>
      <w:r>
        <w:t xml:space="preserve">crédits habitat étant passé d’environ 1,1 % à un pic de 3,6 % fin 2023 avant de refluer vers</w:t>
      </w:r>
      <w:r>
        <w:t xml:space="preserve"> </w:t>
      </w:r>
      <w:r>
        <w:t xml:space="preserve">3,1 % mi-2026, tandis que le rythme du groupe tombait d’environ 150 à moins de 115</w:t>
      </w:r>
      <w:r>
        <w:t xml:space="preserve"> </w:t>
      </w:r>
      <w:r>
        <w:t xml:space="preserve">réservations par mois en 2023. Reste à savoir ce qui, dans cette chute, revient à la</w:t>
      </w:r>
      <w:r>
        <w:t xml:space="preserve"> </w:t>
      </w:r>
      <w:r>
        <w:t xml:space="preserve">conjoncture et ce qui revient aux programmes eux-mêmes.</w:t>
      </w:r>
    </w:p>
    <w:p>
      <w:pPr>
        <w:pStyle w:val="BodyText"/>
      </w:pPr>
      <w:r>
        <w:t xml:space="preserve">La troisième porte sur le</w:t>
      </w:r>
      <w:r>
        <w:t xml:space="preserve"> </w:t>
      </w:r>
      <w:r>
        <w:rPr>
          <w:bCs/>
          <w:b/>
        </w:rPr>
        <w:t xml:space="preserve">prix</w:t>
      </w:r>
      <w:r>
        <w:t xml:space="preserve"> </w:t>
      </w:r>
      <w:r>
        <w:t xml:space="preserve">: quels lots du stock faut-il réviser, à la hausse ou à la</w:t>
      </w:r>
      <w:r>
        <w:t xml:space="preserve"> </w:t>
      </w:r>
      <w:r>
        <w:t xml:space="preserve">baisse ? La question n’est pas théorique, puisque 45 % des 2 157 désistements enregistrés ont</w:t>
      </w:r>
      <w:r>
        <w:t xml:space="preserve"> </w:t>
      </w:r>
      <w:r>
        <w:t xml:space="preserve">pour motif un problème de financement ou un refus de prêt, et que les remises sont aujourd’hui</w:t>
      </w:r>
      <w:r>
        <w:t xml:space="preserve"> </w:t>
      </w:r>
      <w:r>
        <w:t xml:space="preserve">accordées au cas par cas.</w:t>
      </w:r>
    </w:p>
    <w:p>
      <w:pPr>
        <w:pStyle w:val="BodyText"/>
      </w:pPr>
      <w:r>
        <w:t xml:space="preserve">Ces trois questions ont un point commun. Face à des besoins de ce type, la tentation serait de</w:t>
      </w:r>
      <w:r>
        <w:t xml:space="preserve"> </w:t>
      </w:r>
      <w:r>
        <w:t xml:space="preserve">partir sur un projet d’apprentissage automatique de grande ampleur ; c’est pourtant un problème</w:t>
      </w:r>
      <w:r>
        <w:t xml:space="preserve"> </w:t>
      </w:r>
      <w:r>
        <w:t xml:space="preserve">de contrôle de gestion outillé par la donnée, et rien d’autre, le matériau disponible se</w:t>
      </w:r>
      <w:r>
        <w:t xml:space="preserve"> </w:t>
      </w:r>
      <w:r>
        <w:t xml:space="preserve">résumant à 267 opérations et quatre exports Excel, soit une photographie à date.</w:t>
      </w:r>
    </w:p>
    <w:bookmarkStart w:id="105" w:name="Xcacbc28e4963aea1e7cfa59f0a47a06bee732ec"/>
    <w:p>
      <w:pPr>
        <w:pStyle w:val="Heading4"/>
      </w:pPr>
      <w:r>
        <w:t xml:space="preserve">5.1.1.1 Besoins par axe et exigences non fonctionnelles</w:t>
      </w:r>
    </w:p>
    <w:p>
      <w:pPr>
        <w:pStyle w:val="FirstParagraph"/>
      </w:pPr>
      <w:r>
        <w:t xml:space="preserve">J’ai formalisé ces besoins en trois axes de travail, complétés d’un axe transverse 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Axe A, risque de marge</w:t>
      </w:r>
      <w:r>
        <w:t xml:space="preserve"> </w:t>
      </w:r>
      <w:r>
        <w:t xml:space="preserve">: un score permettant de trier les opérations par risque de</w:t>
      </w:r>
      <w:r>
        <w:t xml:space="preserve"> </w:t>
      </w:r>
      <w:r>
        <w:t xml:space="preserve">dérive, le détail en euros des postes déjà en dépassement, et la possibilité de</w:t>
      </w:r>
      <w:r>
        <w:t xml:space="preserve"> </w:t>
      </w:r>
      <w:r>
        <w:t xml:space="preserve">comparer une opération à ses semblables.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Axe B, vitesse d’écoulement</w:t>
      </w:r>
      <w:r>
        <w:t xml:space="preserve"> </w:t>
      </w:r>
      <w:r>
        <w:t xml:space="preserve">: quantifier l’effet du taux d’intérêt sur le rythme de</w:t>
      </w:r>
      <w:r>
        <w:t xml:space="preserve"> </w:t>
      </w:r>
      <w:r>
        <w:t xml:space="preserve">réservation, en le séparant de l’effet propre à chaque programme, et simuler des</w:t>
      </w:r>
      <w:r>
        <w:t xml:space="preserve"> </w:t>
      </w:r>
      <w:r>
        <w:t xml:space="preserve">scénarios de taux pour 2026.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Axe C, prix</w:t>
      </w:r>
      <w:r>
        <w:t xml:space="preserve"> </w:t>
      </w:r>
      <w:r>
        <w:t xml:space="preserve">: estimer un prix de marché par lot, signaler le stock qui s’en écarte,</w:t>
      </w:r>
      <w:r>
        <w:t xml:space="preserve"> </w:t>
      </w:r>
      <w:r>
        <w:t xml:space="preserve">et proposer une règle de remise argumentée.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 et de la</w:t>
      </w:r>
      <w:r>
        <w:t xml:space="preserve"> </w:t>
      </w:r>
      <w:r>
        <w:t xml:space="preserve">structure du réseau de vendeurs.</w:t>
      </w:r>
    </w:p>
    <w:p>
      <w:pPr>
        <w:pStyle w:val="FirstParagraph"/>
      </w:pPr>
      <w:r>
        <w:t xml:space="preserve">Quatre exigences non fonctionnelles ont cadré le travail. 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d’abord : tout</w:t>
      </w:r>
      <w:r>
        <w:t xml:space="preserve"> </w:t>
      </w:r>
      <w:r>
        <w:t xml:space="preserve">doit se reconstruire depuis les exports bruts par un seul script, sans étape manuelle</w:t>
      </w:r>
      <w:r>
        <w:t xml:space="preserve"> </w:t>
      </w:r>
      <w:r>
        <w:t xml:space="preserve">intermédiaire. 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ensuite : chaque score doit être accompagné des variables</w:t>
      </w:r>
      <w:r>
        <w:t xml:space="preserve"> </w:t>
      </w:r>
      <w:r>
        <w:t xml:space="preserve">qui le déterminent.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également : aucune donnée nominative de client n’est</w:t>
      </w:r>
      <w:r>
        <w:t xml:space="preserve"> </w:t>
      </w:r>
      <w:r>
        <w:t xml:space="preserve">affichée ni modélisée. L’</w:t>
      </w:r>
      <w:r>
        <w:rPr>
          <w:bCs/>
          <w:b/>
        </w:rPr>
        <w:t xml:space="preserve">acceptation d’un petit échantillon</w:t>
      </w:r>
      <w:r>
        <w:t xml:space="preserve"> </w:t>
      </w:r>
      <w:r>
        <w:t xml:space="preserve">enfin : à cette taille, des</w:t>
      </w:r>
      <w:r>
        <w:t xml:space="preserve"> </w:t>
      </w:r>
      <w:r>
        <w:t xml:space="preserve">modèles simples validés en validation croisée valent mieux que des architectures complexes dont</w:t>
      </w:r>
      <w:r>
        <w:t xml:space="preserve"> </w:t>
      </w:r>
      <w:r>
        <w:t xml:space="preserve">on ne saurait pas mesurer la performance réelle.</w:t>
      </w:r>
    </w:p>
    <w:bookmarkEnd w:id="105"/>
    <w:bookmarkEnd w:id="106"/>
    <w:bookmarkStart w:id="107" w:name="objectifs-du-dashboard"/>
    <w:p>
      <w:pPr>
        <w:pStyle w:val="Heading3"/>
      </w:pPr>
      <w:r>
        <w:t xml:space="preserve">5.1.2 Objectifs du dashboard</w:t>
      </w:r>
    </w:p>
    <w:p>
      <w:pPr>
        <w:pStyle w:val="FirstParagraph"/>
      </w:pPr>
      <w:r>
        <w:t xml:space="preserve">Le livrable final est une application web destinée à la direction financière, dont la</w:t>
      </w:r>
      <w:r>
        <w:t xml:space="preserve"> </w:t>
      </w:r>
      <w:r>
        <w:t xml:space="preserve">fonction est de traduire les modèles en décisions. C’est sur ce point qu’un retour de</w:t>
      </w:r>
      <w:r>
        <w:t xml:space="preserve"> </w:t>
      </w:r>
      <w:r>
        <w:t xml:space="preserve">l’entreprise, reçu en cours de projet, nous a imposé une clarification utile.</w:t>
      </w:r>
    </w:p>
    <w:p>
      <w:pPr>
        <w:pStyle w:val="BodyText"/>
      </w:pPr>
      <w:r>
        <w:t xml:space="preserve">La première version de l’interface était trop marquée par le vocabulaire de la</w:t>
      </w:r>
      <w:r>
        <w:t xml:space="preserve"> </w:t>
      </w:r>
      <w:r>
        <w:t xml:space="preserve">modélisation. Les écrans parlaient de scores, de probabilités et d’intervalles, là où les</w:t>
      </w:r>
      <w:r>
        <w:t xml:space="preserve"> </w:t>
      </w:r>
      <w:r>
        <w:t xml:space="preserve">utilisateurs attendaient des niveaux d’alerte, des dépassements en euros et un prix de</w:t>
      </w:r>
      <w:r>
        <w:t xml:space="preserve"> </w:t>
      </w:r>
      <w:r>
        <w:t xml:space="preserve">marché estimé. J’ai donc entièrement réécrit l’interface en langage de gestion, et nous en avons</w:t>
      </w:r>
      <w:r>
        <w:t xml:space="preserve"> </w:t>
      </w:r>
      <w:r>
        <w:t xml:space="preserve">restreint le périmètre 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validation, elles, restent</w:t>
      </w:r>
      <w:r>
        <w:t xml:space="preserve"> </w:t>
      </w:r>
      <w:r>
        <w:t xml:space="preserve">dans les notebooks : l’écran ne montre que ce qui se décide.</w:t>
      </w:r>
    </w:p>
    <w:p>
      <w:pPr>
        <w:pStyle w:val="BodyText"/>
      </w:pPr>
      <w:r>
        <w:t xml:space="preserve">Ce retour a été l’un des enseignements les plus utiles du projet. Un modèle correctement</w:t>
      </w:r>
      <w:r>
        <w:t xml:space="preserve"> </w:t>
      </w:r>
      <w:r>
        <w:t xml:space="preserve">validé mais restitué dans le vocabulaire du modélisateur reste inutilisable par le métier,</w:t>
      </w:r>
      <w:r>
        <w:t xml:space="preserve"> </w:t>
      </w:r>
      <w:r>
        <w:t xml:space="preserve">et cette distance ne se comble pas par de la pédagogie, elle se comble en changeant les</w:t>
      </w:r>
      <w:r>
        <w:t xml:space="preserve"> </w:t>
      </w:r>
      <w:r>
        <w:t xml:space="preserve">mots affichés.</w:t>
      </w:r>
    </w:p>
    <w:bookmarkEnd w:id="107"/>
    <w:bookmarkEnd w:id="108"/>
    <w:bookmarkStart w:id="111" w:name="données-disponibles"/>
    <w:p>
      <w:pPr>
        <w:pStyle w:val="Heading2"/>
      </w:pPr>
      <w:r>
        <w:t xml:space="preserve">5.2 Données disponibles</w:t>
      </w:r>
    </w:p>
    <w:bookmarkStart w:id="109" w:name="données-internes"/>
    <w:p>
      <w:pPr>
        <w:pStyle w:val="Heading3"/>
      </w:pPr>
      <w:r>
        <w:t xml:space="preserve">5.2.1 Données internes</w:t>
      </w:r>
    </w:p>
    <w:p>
      <w:pPr>
        <w:pStyle w:val="FirstParagraph"/>
      </w:pPr>
      <w:r>
        <w:t xml:space="preserve">Quatre exports du système de gestion constituent le point de départ du projet. Leur</w:t>
      </w:r>
      <w:r>
        <w:t xml:space="preserve"> </w:t>
      </w:r>
      <w:r>
        <w:t xml:space="preserve">périmètre de 267 opérations ne recouvre pas exactement les 283 opérations reprises au</w:t>
      </w:r>
      <w:r>
        <w:t xml:space="preserve"> </w:t>
      </w:r>
      <w:r>
        <w:t xml:space="preserve">chapitre 2 : ce sont deux extractions distinctes, faites à des dates différentes, et les</w:t>
      </w:r>
      <w:r>
        <w:t xml:space="preserve"> </w:t>
      </w:r>
      <w:r>
        <w:t xml:space="preserve">exports de gestion ne portent que les opérations disposant d’un budget analytique au moment</w:t>
      </w:r>
      <w:r>
        <w:t xml:space="preserve"> </w:t>
      </w:r>
      <w:r>
        <w:t xml:space="preserve">de l’extraction.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97"/>
        <w:gridCol w:w="1569"/>
        <w:gridCol w:w="1926"/>
        <w:gridCol w:w="24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16 467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65 000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 et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79 106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2 164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Deux intitulés sont abrégés dans ce tableau : l’export de la grille de prix</w:t>
      </w:r>
      <w:r>
        <w:t xml:space="preserve"> </w:t>
      </w:r>
      <w:r>
        <w:t xml:space="preserve">s’appelle « Grille de Prix Avec Désistements » dans le système de gestion, et le fichier de</w:t>
      </w:r>
      <w:r>
        <w:t xml:space="preserve"> </w:t>
      </w:r>
      <w:r>
        <w:t xml:space="preserve">contrôle « A_DM_BUDGET_MONTANT_GESTION_LIVE », désigné ci-après comme le fichier LIVE.</w:t>
      </w:r>
    </w:p>
    <w:p>
      <w:pPr>
        <w:pStyle w:val="BodyText"/>
      </w:pPr>
      <w:r>
        <w:t xml:space="preserve">Comprendre ces exports m’a demandé plus de temps que les modéliser. Ce déséquilibre m’a</w:t>
      </w:r>
      <w:r>
        <w:t xml:space="preserve"> </w:t>
      </w:r>
      <w:r>
        <w:t xml:space="preserve">d’abord surprise, puis m’a paru normal : c’est à cette étape que se jouait la fiabilité de</w:t>
      </w:r>
      <w:r>
        <w:t xml:space="preserve"> </w:t>
      </w:r>
      <w:r>
        <w:t xml:space="preserve">tout le reste. Trois constats l’illustrent.</w:t>
      </w:r>
    </w:p>
    <w:p>
      <w:pPr>
        <w:pStyle w:val="BodyText"/>
      </w:pPr>
      <w:r>
        <w:t xml:space="preserve">Le premier concerne le fichier « 06_Informations Lots ». Malgré son nom, il ne contient</w:t>
      </w:r>
      <w:r>
        <w:t xml:space="preserve"> </w:t>
      </w:r>
      <w:r>
        <w:t xml:space="preserve">pas les lots : il ne porte que des dossiers désistés, 2 157 au motif « Désisté » et 7 au</w:t>
      </w:r>
      <w:r>
        <w:t xml:space="preserve"> </w:t>
      </w:r>
      <w:r>
        <w:t xml:space="preserve">motif « Résolution de vente ». La table maîtresse des lots est en réalité la grille de</w:t>
      </w:r>
      <w:r>
        <w:t xml:space="preserve"> </w:t>
      </w:r>
      <w:r>
        <w:t xml:space="preserve">prix. Prendre ce fichier pour ce que son nom annonce aurait faussé toute l’analyse du</w:t>
      </w:r>
      <w:r>
        <w:t xml:space="preserve"> </w:t>
      </w:r>
      <w:r>
        <w:t xml:space="preserve">stock.</w:t>
      </w:r>
    </w:p>
    <w:p>
      <w:pPr>
        <w:pStyle w:val="BodyText"/>
      </w:pPr>
      <w:r>
        <w:t xml:space="preserve">Le deuxième concerne le fichier « Budget &amp; EFR ». Il affiche 65 000 lignes, un chiffre rond</w:t>
      </w:r>
      <w:r>
        <w:t xml:space="preserve"> </w:t>
      </w:r>
      <w:r>
        <w:t xml:space="preserve">qui évoquait immédiatement une troncature à l’export. J’ai donc réconcilié ce fichier avec</w:t>
      </w:r>
      <w:r>
        <w:t xml:space="preserve"> </w:t>
      </w:r>
      <w:r>
        <w:t xml:space="preserve">le fichier LIVE, et la vérification a montré le contraire de ce que je craignais : les</w:t>
      </w:r>
      <w:r>
        <w:t xml:space="preserve"> </w:t>
      </w:r>
      <w:r>
        <w:t xml:space="preserve">totaux sont identiques à l’euro près sur les 118 opérations jointes, avec un écart médian</w:t>
      </w:r>
      <w:r>
        <w:t xml:space="preserve"> </w:t>
      </w:r>
      <w:r>
        <w:t xml:space="preserve">nul. Les 65 000 lignes se décomposent en 64 788 postes de détail et 212 lignes de synthèse.</w:t>
      </w:r>
      <w:r>
        <w:t xml:space="preserve"> </w:t>
      </w:r>
      <w:r>
        <w:t xml:space="preserve">Le chiffre rond n’était qu’une coïncidence.</w:t>
      </w:r>
    </w:p>
    <w:p>
      <w:pPr>
        <w:pStyle w:val="BodyText"/>
      </w:pPr>
      <w:r>
        <w:t xml:space="preserve">Le troisième concerne le nettoyage proprement dit, qui a traité les défauts classiques d’un</w:t>
      </w:r>
      <w:r>
        <w:t xml:space="preserve"> </w:t>
      </w:r>
      <w:r>
        <w:t xml:space="preserve">export de gestion. Les natures de lot ont été harmonisées, les libellés « appt »,</w:t>
      </w:r>
      <w:r>
        <w:t xml:space="preserve"> </w:t>
      </w:r>
      <w:r>
        <w:t xml:space="preserve">« Appartement » ou « stat » étant regroupés en huit familles. Les doublons orthographiques</w:t>
      </w:r>
      <w:r>
        <w:t xml:space="preserve"> </w:t>
      </w:r>
      <w:r>
        <w:t xml:space="preserve">de communes ont été fusionnés : 91 orthographes désignaient en réalité 90 communes. Enfin,</w:t>
      </w:r>
      <w:r>
        <w:t xml:space="preserve"> </w:t>
      </w:r>
      <w:r>
        <w:t xml:space="preserve">les surfaces et les prix à zéro ont été convertis en valeurs manquantes plutôt que traités</w:t>
      </w:r>
      <w:r>
        <w:t xml:space="preserve"> </w:t>
      </w:r>
      <w:r>
        <w:t xml:space="preserve">comme des zéros réels, un zéro de surface n’ayant aucun sens économique.</w:t>
      </w:r>
    </w:p>
    <w:bookmarkEnd w:id="109"/>
    <w:bookmarkStart w:id="110" w:name="données-externes"/>
    <w:p>
      <w:pPr>
        <w:pStyle w:val="Heading3"/>
      </w:pPr>
      <w:r>
        <w:t xml:space="preserve">5.2.2 Données externes</w:t>
      </w:r>
    </w:p>
    <w:p>
      <w:pPr>
        <w:pStyle w:val="FirstParagraph"/>
      </w:pPr>
      <w:r>
        <w:t xml:space="preserve">Trois sources publiques complètent les données internes. Je les ai toutes récupérées par</w:t>
      </w:r>
      <w:r>
        <w:t xml:space="preserve"> </w:t>
      </w:r>
      <w:r>
        <w:t xml:space="preserve">script, et non par téléchargement manuel, pour qu’elles restent re-téléchargeables et que</w:t>
      </w:r>
      <w:r>
        <w:t xml:space="preserve"> </w:t>
      </w:r>
      <w:r>
        <w:t xml:space="preserve">l’analyse puisse être rejouée sur des séries actualisées 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Le taux moyen des crédits habitat en France</w:t>
      </w:r>
      <w:r>
        <w:t xml:space="preserve">, série mensuelle de la Banque centrale</w:t>
      </w:r>
      <w:r>
        <w:t xml:space="preserve"> </w:t>
      </w:r>
      <w:r>
        <w:t xml:space="preserve">européenne [4], de 2015 à 2026.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L’indicateur de confiance des ménages</w:t>
      </w:r>
      <w:r>
        <w:t xml:space="preserve">, publié par Eurostat [5], sur la même période.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Un référentiel des 90 communes d’implantation</w:t>
      </w:r>
      <w:r>
        <w:t xml:space="preserve"> </w:t>
      </w:r>
      <w:r>
        <w:t xml:space="preserve">du groupe, comprenant la population et</w:t>
      </w:r>
      <w:r>
        <w:t xml:space="preserve"> </w:t>
      </w:r>
      <w:r>
        <w:t xml:space="preserve">les coordonnées géographiques, obtenu par l’API publique</w:t>
      </w:r>
      <w:r>
        <w:t xml:space="preserve"> </w:t>
      </w:r>
      <w:r>
        <w:rPr>
          <w:rStyle w:val="VerbatimChar"/>
        </w:rPr>
        <w:t xml:space="preserve">geo.api.gouv.fr</w:t>
      </w:r>
      <w:r>
        <w:t xml:space="preserve"> </w:t>
      </w:r>
      <w:r>
        <w:t xml:space="preserve">[6] et enrichi</w:t>
      </w:r>
      <w:r>
        <w:t xml:space="preserve"> </w:t>
      </w:r>
      <w:r>
        <w:t xml:space="preserve">d’une distance au littoral que j’ai calculée.</w:t>
      </w:r>
    </w:p>
    <w:p>
      <w:pPr>
        <w:pStyle w:val="FirstParagraph"/>
      </w:pPr>
      <w:r>
        <w:t xml:space="preserve">Ce détour par le script plutôt que par le téléchargement manuel a un coût en temps au</w:t>
      </w:r>
      <w:r>
        <w:t xml:space="preserve"> </w:t>
      </w:r>
      <w:r>
        <w:t xml:space="preserve">départ, mais c’est lui qui rend l’exigence de reproductibilité tenable jusqu’au bout de la</w:t>
      </w:r>
      <w:r>
        <w:t xml:space="preserve"> </w:t>
      </w:r>
      <w:r>
        <w:t xml:space="preserve">chaîne.</w:t>
      </w:r>
    </w:p>
    <w:bookmarkEnd w:id="110"/>
    <w:bookmarkEnd w:id="111"/>
    <w:bookmarkStart w:id="112" w:name="architecture-technique"/>
    <w:p>
      <w:pPr>
        <w:pStyle w:val="Heading2"/>
      </w:pPr>
      <w:r>
        <w:t xml:space="preserve">5.3 Architecture technique</w:t>
      </w:r>
    </w:p>
    <w:p>
      <w:pPr>
        <w:pStyle w:val="FirstParagraph"/>
      </w:pPr>
      <w:r>
        <w:t xml:space="preserve">L’architecture retenue tient en une chaîne courte et entièrement rejouable. Les quatre</w:t>
      </w:r>
      <w:r>
        <w:t xml:space="preserve"> </w:t>
      </w:r>
      <w:r>
        <w:t xml:space="preserve">exports et les trois sources externes alimentent un script de nettoyage, qui charge une</w:t>
      </w:r>
      <w:r>
        <w:t xml:space="preserve"> </w:t>
      </w:r>
      <w:r>
        <w:t xml:space="preserve">base SQLite organisée en schéma en étoile, c’est-à-dire autour de tables de faits</w:t>
      </w:r>
      <w:r>
        <w:t xml:space="preserve"> </w:t>
      </w:r>
      <w:r>
        <w:t xml:space="preserve">rattachées à des tables de dimensions. On y trouve trois dimensions, les opérations, les</w:t>
      </w:r>
      <w:r>
        <w:t xml:space="preserve"> </w:t>
      </w:r>
      <w:r>
        <w:t xml:space="preserve">communes et la conjoncture mensuelle, et quatre tables de faits : 64 788 lignes</w:t>
      </w:r>
      <w:r>
        <w:t xml:space="preserve"> </w:t>
      </w:r>
      <w:r>
        <w:t xml:space="preserve">budgétaires, 14 123 lots, 14 428 dossiers de vente et 2 164 désistements. Les notebooks</w:t>
      </w:r>
      <w:r>
        <w:t xml:space="preserve"> </w:t>
      </w:r>
      <w:r>
        <w:t xml:space="preserve">d’analyse et l’application s’appuient tous deux sur cette base.</w:t>
      </w:r>
    </w:p>
    <w:p>
      <w:pPr>
        <w:pStyle w:val="BodyText"/>
      </w:pPr>
      <w:r>
        <w:t xml:space="preserve">Trois vues SQL y encapsulent les calculs partagés : la marge budgétée contre la marge</w:t>
      </w:r>
      <w:r>
        <w:t xml:space="preserve"> </w:t>
      </w:r>
      <w:r>
        <w:t xml:space="preserve">engagée par opération, les réservations par opération et par mois, et l’état du stock. Ce</w:t>
      </w:r>
      <w:r>
        <w:t xml:space="preserve"> </w:t>
      </w:r>
      <w:r>
        <w:t xml:space="preserve">choix est plus structurant qu’il n’y paraît. La définition de la marge est écrite une seule</w:t>
      </w:r>
      <w:r>
        <w:t xml:space="preserve"> </w:t>
      </w:r>
      <w:r>
        <w:t xml:space="preserve">fois, dans la vue, et les notebooks comme la plateforme consomment la même. C’est</w:t>
      </w:r>
      <w:r>
        <w:t xml:space="preserve"> </w:t>
      </w:r>
      <w:r>
        <w:t xml:space="preserve">exactement la situation inverse de celle décrite au chapitre 4, où la règle de facturation</w:t>
      </w:r>
      <w:r>
        <w:t xml:space="preserve"> </w:t>
      </w:r>
      <w:r>
        <w:t xml:space="preserve">juridique, ne pouvant être écrite nulle part, devait être recalculée à chaque génération du</w:t>
      </w:r>
      <w:r>
        <w:t xml:space="preserve"> </w:t>
      </w:r>
      <w:r>
        <w:t xml:space="preserve">tableau.</w:t>
      </w:r>
    </w:p>
    <w:p>
      <w:pPr>
        <w:pStyle w:val="BodyText"/>
      </w:pPr>
      <w:r>
        <w:t xml:space="preserve">Une seule commande reconstruit l’ensemble depuis les exports bruts, en quelques secondes.</w:t>
      </w:r>
      <w:r>
        <w:t xml:space="preserve"> </w:t>
      </w:r>
      <w:r>
        <w:t xml:space="preserve">L’analyse complète est versionnée et ré-exécutable de bout en bout, ce qui signifie que</w:t>
      </w:r>
      <w:r>
        <w:t xml:space="preserve"> </w:t>
      </w:r>
      <w:r>
        <w:t xml:space="preserve">tous les résultats présentés dans ce chapitre sont reproductibles. Cette contrainte, que je</w:t>
      </w:r>
      <w:r>
        <w:t xml:space="preserve"> </w:t>
      </w:r>
      <w:r>
        <w:t xml:space="preserve">me suis imposée avant d’écrire la première ligne d’analyse, est ce qui distingue un travail</w:t>
      </w:r>
      <w:r>
        <w:t xml:space="preserve"> </w:t>
      </w:r>
      <w:r>
        <w:t xml:space="preserve">vérifiable d’une suite de manipulations dont personne ne saurait refaire le chemin.</w:t>
      </w:r>
    </w:p>
    <w:bookmarkEnd w:id="112"/>
    <w:bookmarkStart w:id="140" w:name="notebooks-et-résultats"/>
    <w:p>
      <w:pPr>
        <w:pStyle w:val="Heading2"/>
      </w:pPr>
      <w:r>
        <w:t xml:space="preserve">5.4 Notebooks et résultats</w:t>
      </w:r>
    </w:p>
    <w:bookmarkStart w:id="119" w:name="X602394daec039ef4331b05e21f2ad099f555b11"/>
    <w:p>
      <w:pPr>
        <w:pStyle w:val="Heading3"/>
      </w:pPr>
      <w:r>
        <w:t xml:space="preserve">5.4.1 Exploration et nettoyage des données brutes</w:t>
      </w:r>
    </w:p>
    <w:p>
      <w:pPr>
        <w:pStyle w:val="FirstParagraph"/>
      </w:pPr>
      <w:r>
        <w:t xml:space="preserve">Au-delà du nettoyage décrit en section 5.2, l’exploration a produit deux résultats qui ont</w:t>
      </w:r>
      <w:r>
        <w:t xml:space="preserve"> </w:t>
      </w:r>
      <w:r>
        <w:t xml:space="preserve">directement orienté la modélisation.</w:t>
      </w:r>
    </w:p>
    <w:p>
      <w:pPr>
        <w:pStyle w:val="BodyText"/>
      </w:pPr>
      <w:r>
        <w:t xml:space="preserve">Le premier concerne la distribution des prix. Le prix au mètre carré des appartements est</w:t>
      </w:r>
      <w:r>
        <w:t xml:space="preserve"> </w:t>
      </w:r>
      <w:r>
        <w:t xml:space="preserve">fortement asymétrique, avec un coefficient d’asymétrie de 19,2, ce qui rendait le prix brut</w:t>
      </w:r>
      <w:r>
        <w:t xml:space="preserve"> </w:t>
      </w:r>
      <w:r>
        <w:t xml:space="preserve">impropre à une modélisation linéaire directe. Après passage au logarithme, la</w:t>
      </w:r>
      <w:r>
        <w:t xml:space="preserve"> </w:t>
      </w:r>
      <w:r>
        <w:t xml:space="preserve">distribution devient proche d’une loi normale : le coefficient d’asymétrie tombe à 0,39 et</w:t>
      </w:r>
      <w:r>
        <w:t xml:space="preserve"> </w:t>
      </w:r>
      <w:r>
        <w:t xml:space="preserve">le diagramme quantile-quantile, qui compare la distribution observée à la distribution</w:t>
      </w:r>
      <w:r>
        <w:t xml:space="preserve"> </w:t>
      </w:r>
      <w:r>
        <w:t xml:space="preserve">théorique, devient presque rectiligne. La Figure 5.1 rassemble les deux distributions et</w:t>
      </w:r>
      <w:r>
        <w:t xml:space="preserve"> </w:t>
      </w:r>
      <w:r>
        <w:t xml:space="preserve">les diagrammes quantile-quantile correspondants. C’est ce constat qui a conduit l’axe C à</w:t>
      </w:r>
      <w:r>
        <w:t xml:space="preserve"> </w:t>
      </w:r>
      <w:r>
        <w:t xml:space="preserve">modéliser le logarithme du prix plutôt que le prix lui-même.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Prix au mètre carré des appartements : distribution brute et après transformation logarithmique" title="" id="114" name="Picture"/>
            <a:graphic>
              <a:graphicData uri="http://schemas.openxmlformats.org/drawingml/2006/picture">
                <pic:pic>
                  <pic:nvPicPr>
                    <pic:cNvPr descr="figures/fig_5_1_prix_m2_log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5.1 – Prix au mètre carré des appartements : distribution brute et après transformation logarithmique</w:t>
      </w:r>
    </w:p>
    <w:p>
      <w:pPr>
        <w:pStyle w:val="BodyText"/>
      </w:pPr>
      <w:r>
        <w:t xml:space="preserve">Le second résultat est une leçon de méthode, et c’est peut-être le passage du projet dont</w:t>
      </w:r>
      <w:r>
        <w:t xml:space="preserve"> </w:t>
      </w:r>
      <w:r>
        <w:t xml:space="preserve">j’ai le plus appris. En calculant la corrélation entre les réservations mensuelles du</w:t>
      </w:r>
      <w:r>
        <w:t xml:space="preserve"> </w:t>
      </w:r>
      <w:r>
        <w:t xml:space="preserve">groupe et le taux des crédits habitat, j’obtenais une valeur quasi nulle, de +0,07. Prise</w:t>
      </w:r>
      <w:r>
        <w:t xml:space="preserve"> </w:t>
      </w:r>
      <w:r>
        <w:t xml:space="preserve">au premier degré, cette valeur signifiait que la conjoncture n’explique rien du rythme de</w:t>
      </w:r>
      <w:r>
        <w:t xml:space="preserve"> </w:t>
      </w:r>
      <w:r>
        <w:t xml:space="preserve">vente, ce qui contredisait tout ce que l’on sait du marché.</w:t>
      </w:r>
    </w:p>
    <w:p>
      <w:pPr>
        <w:pStyle w:val="BodyText"/>
      </w:pPr>
      <w:r>
        <w:t xml:space="preserve">En réalité, la série brute est brouillée par la croissance du portefeuille. Le nombre</w:t>
      </w:r>
      <w:r>
        <w:t xml:space="preserve"> </w:t>
      </w:r>
      <w:r>
        <w:t xml:space="preserve">d’opérations en commercialisation a fortement augmenté sur la période, soutenant le volume total</w:t>
      </w:r>
      <w:r>
        <w:t xml:space="preserve"> </w:t>
      </w:r>
      <w:r>
        <w:t xml:space="preserve">de réservations même lorsque la demande par programme s’effondre. Rapportées au nombre</w:t>
      </w:r>
      <w:r>
        <w:t xml:space="preserve"> </w:t>
      </w:r>
      <w:r>
        <w:t xml:space="preserve">d’opérations actives, les réservations racontent l’inverse. La Figure 5.2 donne cette série</w:t>
      </w:r>
      <w:r>
        <w:t xml:space="preserve"> </w:t>
      </w:r>
      <w:r>
        <w:t xml:space="preserve">d’intensité corrigée ; sa corrélation avec le taux d’intérêt passe à -0,34 et celle avec la</w:t>
      </w:r>
      <w:r>
        <w:t xml:space="preserve"> </w:t>
      </w:r>
      <w:r>
        <w:t xml:space="preserve">confiance des ménages à +0,44. Tout l’axe B repose sur cette correction. Sans elle, j’aurais</w:t>
      </w:r>
      <w:r>
        <w:t xml:space="preserve"> </w:t>
      </w:r>
      <w:r>
        <w:t xml:space="preserve">conclu à l’absence d’effet de la conjoncture, et j’aurais eu tort.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Intensité de vente, mesurée en réservations par opération active : l’effet de la remontée des taux apparaît une fois l’effet de portefeuille neutralisé" title="" id="117" name="Picture"/>
            <a:graphic>
              <a:graphicData uri="http://schemas.openxmlformats.org/drawingml/2006/picture">
                <pic:pic>
                  <pic:nvPicPr>
                    <pic:cNvPr descr="figures/fig_5_2_intensite_vent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5.2 – Intensité de vente, mesurée en réservations par opération active : l’effet de la remontée des taux apparaît une fois l’effet de portefeuille neutralisé</w:t>
      </w:r>
    </w:p>
    <w:bookmarkEnd w:id="119"/>
    <w:bookmarkStart w:id="120" w:name="sql-et-spark"/>
    <w:p>
      <w:pPr>
        <w:pStyle w:val="Heading3"/>
      </w:pPr>
      <w:r>
        <w:t xml:space="preserve">5.4.2 SQL et Spark</w:t>
      </w:r>
    </w:p>
    <w:p>
      <w:pPr>
        <w:pStyle w:val="FirstParagraph"/>
      </w:pPr>
      <w:r>
        <w:t xml:space="preserve">Le véritable livrable de cette étape est la base SQL décrite en section 5.3 : les vues</w:t>
      </w:r>
      <w:r>
        <w:t xml:space="preserve"> </w:t>
      </w:r>
      <w:r>
        <w:t xml:space="preserve">métier partagées, les index, et un contrôle croisé des agrégats qui retrouve les mêmes</w:t>
      </w:r>
      <w:r>
        <w:t xml:space="preserve"> </w:t>
      </w:r>
      <w:r>
        <w:t xml:space="preserve">totaux par deux moteurs indépendants, soit 1 561,8 M€ de dépenses budgétées et 1 754,8 M€</w:t>
      </w:r>
      <w:r>
        <w:t xml:space="preserve"> </w:t>
      </w:r>
      <w:r>
        <w:t xml:space="preserve">de recettes, à l’arrondi près. Ce contrôle n’est pas une coquetterie : il garantit que la</w:t>
      </w:r>
      <w:r>
        <w:t xml:space="preserve"> </w:t>
      </w:r>
      <w:r>
        <w:t xml:space="preserve">base chargée dit bien la même chose que les exports d’origine.</w:t>
      </w:r>
    </w:p>
    <w:p>
      <w:pPr>
        <w:pStyle w:val="BodyText"/>
      </w:pPr>
      <w:r>
        <w:t xml:space="preserve">J’ai ensuite évalué Spark comme piste de montée en charge, l’entreprise appartenant à un groupe</w:t>
      </w:r>
      <w:r>
        <w:t xml:space="preserve"> </w:t>
      </w:r>
      <w:r>
        <w:t xml:space="preserve">dont le périmètre de données dépasse largement le sien. Le test aboutit à une conclusion</w:t>
      </w:r>
      <w:r>
        <w:t xml:space="preserve"> </w:t>
      </w:r>
      <w:r>
        <w:t xml:space="preserve">négative, et c’est en cela qu’il est utile. Sur notre volumétrie, 64 788 lignes représentant 9</w:t>
      </w:r>
      <w:r>
        <w:t xml:space="preserve"> </w:t>
      </w:r>
      <w:r>
        <w:t xml:space="preserve">Mo en mémoire, l’agrégation chronométrée est environ cinquante fois plus lente qu’avec pandas.</w:t>
      </w:r>
      <w:r>
        <w:t xml:space="preserve"> </w:t>
      </w:r>
      <w:r>
        <w:t xml:space="preserve">Le rapport mesuré est de 58, après 24 secondes de démarrage de la machine virtuelle Java ; une</w:t>
      </w:r>
      <w:r>
        <w:t xml:space="preserve"> </w:t>
      </w:r>
      <w:r>
        <w:t xml:space="preserve">exécution antérieure donnait 28. Le chiffre varie donc avec la machine, mais la conclusion non.</w:t>
      </w:r>
    </w:p>
    <w:p>
      <w:pPr>
        <w:pStyle w:val="BodyText"/>
      </w:pPr>
      <w:r>
        <w:t xml:space="preserve">SQLite et pandas constituent donc la bonne architecture à cette échelle. L’intérêt du test</w:t>
      </w:r>
      <w:r>
        <w:t xml:space="preserve"> </w:t>
      </w:r>
      <w:r>
        <w:t xml:space="preserve">est ailleurs : le chemin de montée en charge est identifié, si le périmètre devait un jour</w:t>
      </w:r>
      <w:r>
        <w:t xml:space="preserve"> </w:t>
      </w:r>
      <w:r>
        <w:t xml:space="preserve">s’étendre à celui du groupe Nexity.</w:t>
      </w:r>
    </w:p>
    <w:bookmarkEnd w:id="120"/>
    <w:bookmarkStart w:id="124" w:name="axe-a-risque-de-dérive-de-marge"/>
    <w:p>
      <w:pPr>
        <w:pStyle w:val="Heading3"/>
      </w:pPr>
      <w:r>
        <w:t xml:space="preserve">5.4.3 Axe A : risque de dérive de marge</w:t>
      </w:r>
    </w:p>
    <w:p>
      <w:pPr>
        <w:pStyle w:val="FirstParagraph"/>
      </w:pPr>
      <w:r>
        <w:t xml:space="preserve">La difficulté de l’axe A n’était pas le modèle mais la définition de la cible. Les exports</w:t>
      </w:r>
      <w:r>
        <w:t xml:space="preserve"> </w:t>
      </w:r>
      <w:r>
        <w:t xml:space="preserve">dont je disposais sont une photographie à date, sans historique des révisions budgétaires :</w:t>
      </w:r>
      <w:r>
        <w:t xml:space="preserve"> </w:t>
      </w:r>
      <w:r>
        <w:t xml:space="preserve">je ne peux donc pas observer comment un budget a évolué, seulement où il en est</w:t>
      </w:r>
      <w:r>
        <w:t xml:space="preserve"> </w:t>
      </w:r>
      <w:r>
        <w:t xml:space="preserve">aujourd’hui.</w:t>
      </w:r>
    </w:p>
    <w:p>
      <w:pPr>
        <w:pStyle w:val="BodyText"/>
      </w:pPr>
      <w:r>
        <w:t xml:space="preserve">J’ai donc mesuré la dérive par les dépassements déjà engagés, poste par poste. Les dépenses</w:t>
      </w:r>
      <w:r>
        <w:t xml:space="preserve"> </w:t>
      </w:r>
      <w:r>
        <w:t xml:space="preserve">à terminaison sont estimées par le maximum de l’engagé et du budget de chaque poste, selon</w:t>
      </w:r>
      <w:r>
        <w:t xml:space="preserve"> </w:t>
      </w:r>
      <w:r>
        <w:t xml:space="preserve">un principe qui se formule simplement : un dépassement engagé est acquis, et le budget</w:t>
      </w:r>
      <w:r>
        <w:t xml:space="preserve"> </w:t>
      </w:r>
      <w:r>
        <w:t xml:space="preserve">restant sera dépensé. La variation de marge rapporte ensuite la marge ainsi recalculée à la</w:t>
      </w:r>
      <w:r>
        <w:t xml:space="preserve"> </w:t>
      </w:r>
      <w:r>
        <w:t xml:space="preserve">marge budgétée. Cette grandeur est appelée dans le projet la variation de marge</w:t>
      </w:r>
      <w:r>
        <w:t xml:space="preserve"> </w:t>
      </w:r>
      <w:r>
        <w:t xml:space="preserve">« committée », par emprunt à la notion comptable de coût engagé : elle ne mesure pas une</w:t>
      </w:r>
      <w:r>
        <w:t xml:space="preserve"> </w:t>
      </w:r>
      <w:r>
        <w:t xml:space="preserve">dérive anticipée, mais la part de dérive que les engagements déjà pris rendent acquise.</w:t>
      </w:r>
    </w:p>
    <w:p>
      <w:pPr>
        <w:pStyle w:val="BodyText"/>
      </w:pPr>
      <w:r>
        <w:t xml:space="preserve">Cette définition impose une précaution sur les variables explicatives, et j’y ai veillé</w:t>
      </w:r>
      <w:r>
        <w:t xml:space="preserve"> </w:t>
      </w:r>
      <w:r>
        <w:t xml:space="preserve">dès la construction du jeu de données. Concrètement, le modèle n’utilise que le budget</w:t>
      </w:r>
      <w:r>
        <w:t xml:space="preserve"> </w:t>
      </w:r>
      <w:r>
        <w:t xml:space="preserve">initial et les signaux commerciaux, jamais l’engagé ni le facturé, qui sont précisément ce</w:t>
      </w:r>
      <w:r>
        <w:t xml:space="preserve"> </w:t>
      </w:r>
      <w:r>
        <w:t xml:space="preserve">qui définit la cible. Sans cette précaution, le modèle aurait « prédit » sa propre</w:t>
      </w:r>
      <w:r>
        <w:t xml:space="preserve"> </w:t>
      </w:r>
      <w:r>
        <w:t xml:space="preserve">définition.</w:t>
      </w:r>
    </w:p>
    <w:p>
      <w:pPr>
        <w:pStyle w:val="BodyText"/>
      </w:pPr>
      <w:r>
        <w:t xml:space="preserve">Sur le périmètre exploitable, soit les 123 opérations engagées à au moins 60 % et dont la</w:t>
      </w:r>
      <w:r>
        <w:t xml:space="preserve"> </w:t>
      </w:r>
      <w:r>
        <w:t xml:space="preserve">marge budgétée dépasse 50 k€, plus d’un tiers des opérations, 36,6 % exactement, n’a aucun</w:t>
      </w:r>
      <w:r>
        <w:t xml:space="preserve"> </w:t>
      </w:r>
      <w:r>
        <w:t xml:space="preserve">dépassement engagé. Mais 28 % franchissent le seuil de dérive matérielle, que j’ai fixé à</w:t>
      </w:r>
      <w:r>
        <w:t xml:space="preserve"> </w:t>
      </w:r>
      <w:r>
        <w:t xml:space="preserve">2 % de la marge, et deux cas extrêmes dépassent la moitié de la marge budgétée. La</w:t>
      </w:r>
      <w:r>
        <w:t xml:space="preserve"> </w:t>
      </w:r>
      <w:r>
        <w:t xml:space="preserve">Figure 5.3 donne la distribution complète et situe ce seuil, avec à droite le détail des</w:t>
      </w:r>
      <w:r>
        <w:t xml:space="preserve"> </w:t>
      </w:r>
      <w:r>
        <w:t xml:space="preserve">opérations en dérive.</w:t>
      </w:r>
    </w:p>
    <w:p>
      <w:pPr>
        <w:pStyle w:val="CaptionedFigure"/>
      </w:pPr>
      <w:r>
        <w:drawing>
          <wp:inline>
            <wp:extent cx="5067300" cy="1628472"/>
            <wp:effectExtent b="0" l="0" r="0" t="0"/>
            <wp:docPr descr="Distribution de la variation de marge « committée » sur les 123 opérations du périmètre, et seuil de dérive matérielle à -2 %" title="" id="122" name="Picture"/>
            <a:graphic>
              <a:graphicData uri="http://schemas.openxmlformats.org/drawingml/2006/picture">
                <pic:pic>
                  <pic:nvPicPr>
                    <pic:cNvPr descr="figures/fig_5_3_distribution_variation_marge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5.3 – Distribution de la variation de marge « committée » sur les 123 opérations du périmètre, et seuil de dérive matérielle à -2 %</w:t>
      </w:r>
    </w:p>
    <w:p>
      <w:pPr>
        <w:pStyle w:val="BodyText"/>
      </w:pPr>
      <w:r>
        <w:t xml:space="preserve">La partie la plus utile de cet axe pour l’entreprise n’est pas un modèle appris : c’est le</w:t>
      </w:r>
      <w:r>
        <w:t xml:space="preserve"> </w:t>
      </w:r>
      <w:r>
        <w:t xml:space="preserve">tableau descriptif des dépassements engagés en euros, par opération et par poste, calculé</w:t>
      </w:r>
      <w:r>
        <w:t xml:space="preserve"> </w:t>
      </w:r>
      <w:r>
        <w:t xml:space="preserve">en SQL pur. C’est lui qui alimente la page « Alertes marge » de la plateforme.</w:t>
      </w:r>
    </w:p>
    <w:p>
      <w:pPr>
        <w:pStyle w:val="BodyText"/>
      </w:pPr>
      <w:r>
        <w:t xml:space="preserve">La modélisation vient en complément, comme score de tri. Une régression du taux de</w:t>
      </w:r>
      <w:r>
        <w:t xml:space="preserve"> </w:t>
      </w:r>
      <w:r>
        <w:t xml:space="preserve">variation atteint un coefficient de détermination de 0,08 sur l’échantillon test. Le</w:t>
      </w:r>
      <w:r>
        <w:t xml:space="preserve"> </w:t>
      </w:r>
      <w:r>
        <w:t xml:space="preserve">résultat est modeste, et je le présente tel quel : la structure du budget initial</w:t>
      </w:r>
      <w:r>
        <w:t xml:space="preserve"> </w:t>
      </w:r>
      <w:r>
        <w:t xml:space="preserve">prédispose à la dérive mais ne la détermine pas, l’aléa de chantier faisant le reste. Une</w:t>
      </w:r>
      <w:r>
        <w:t xml:space="preserve"> </w:t>
      </w:r>
      <w:r>
        <w:t xml:space="preserve">classification des opérations « à risque », c’est-à-dire dont la dérive dépasse 2 %,</w:t>
      </w:r>
      <w:r>
        <w:t xml:space="preserve"> </w:t>
      </w:r>
      <w:r>
        <w:t xml:space="preserve">atteint un score F1, qui combine en une seule valeur la capacité à détecter les cas à</w:t>
      </w:r>
      <w:r>
        <w:t xml:space="preserve"> </w:t>
      </w:r>
      <w:r>
        <w:t xml:space="preserve">risque et celle à ne pas en signaler à tort, de l’ordre de 0,30 à 0,34 en validation</w:t>
      </w:r>
      <w:r>
        <w:t xml:space="preserve"> </w:t>
      </w:r>
      <w:r>
        <w:t xml:space="preserve">croisée stratifiée, c’est-à-dire</w:t>
      </w:r>
      <w:r>
        <w:t xml:space="preserve"> </w:t>
      </w:r>
      <w:r>
        <w:t xml:space="preserve">sur des découpages qui conservent la proportion d’opérations à risque, contre 0 pour la</w:t>
      </w:r>
      <w:r>
        <w:t xml:space="preserve"> </w:t>
      </w:r>
      <w:r>
        <w:t xml:space="preserve">référence majoritaire, qui ne détecte rien du tout. J’ai confronté quatre</w:t>
      </w:r>
      <w:r>
        <w:t xml:space="preserve"> </w:t>
      </w:r>
      <w:r>
        <w:t xml:space="preserve">classifieurs classiques : la régression logistique, le séparateur à vaste marge, l’arbre de</w:t>
      </w:r>
      <w:r>
        <w:t xml:space="preserve"> </w:t>
      </w:r>
      <w:r>
        <w:t xml:space="preserve">décision et la forêt aléatoire. À 123 observations, leurs écarts de performance ne sont pas</w:t>
      </w:r>
      <w:r>
        <w:t xml:space="preserve"> </w:t>
      </w:r>
      <w:r>
        <w:t xml:space="preserve">significatifs. Le choix s’est donc porté sur la forêt aléatoire, dont les probabilités</w:t>
      </w:r>
      <w:r>
        <w:t xml:space="preserve"> </w:t>
      </w:r>
      <w:r>
        <w:t xml:space="preserve">alimentent les niveaux d’alerte de la plateforme.</w:t>
      </w:r>
    </w:p>
    <w:p>
      <w:pPr>
        <w:pStyle w:val="BodyText"/>
      </w:pPr>
      <w:r>
        <w:t xml:space="preserve">Il faut donc lire ce dispositif pour ce qu’il est : un outil de hiérarchisation de</w:t>
      </w:r>
      <w:r>
        <w:t xml:space="preserve"> </w:t>
      </w:r>
      <w:r>
        <w:t xml:space="preserve">l’attention, pas un oracle.</w:t>
      </w:r>
    </w:p>
    <w:bookmarkEnd w:id="124"/>
    <w:bookmarkStart w:id="131" w:name="axe-b-vitesse-découlement"/>
    <w:p>
      <w:pPr>
        <w:pStyle w:val="Heading3"/>
      </w:pPr>
      <w:r>
        <w:t xml:space="preserve">5.4.4 Axe B : vitesse d’écoulement</w:t>
      </w:r>
    </w:p>
    <w:p>
      <w:pPr>
        <w:pStyle w:val="FirstParagraph"/>
      </w:pPr>
      <w:r>
        <w:t xml:space="preserve">Budgéter les réservations de 2026 suppose de distinguer, dans le rythme de vente, ce qui</w:t>
      </w:r>
      <w:r>
        <w:t xml:space="preserve"> </w:t>
      </w:r>
      <w:r>
        <w:t xml:space="preserve">relève de la conjoncture et ce qui relève du programme lui-même. C’est l’axe dont les</w:t>
      </w:r>
      <w:r>
        <w:t xml:space="preserve"> </w:t>
      </w:r>
      <w:r>
        <w:t xml:space="preserve">résultats sont les plus solides, et celui qui sert le plus directement la décision</w:t>
      </w:r>
      <w:r>
        <w:t xml:space="preserve"> </w:t>
      </w:r>
      <w:r>
        <w:t xml:space="preserve">budgétaire.</w:t>
      </w:r>
    </w:p>
    <w:p>
      <w:pPr>
        <w:pStyle w:val="BodyText"/>
      </w:pPr>
      <w:r>
        <w:t xml:space="preserve">Le rythme de vente est modélisé sur un panel opération × mois, soit 3 230 observations</w:t>
      </w:r>
      <w:r>
        <w:t xml:space="preserve"> </w:t>
      </w:r>
      <w:r>
        <w:t xml:space="preserve">portant sur 160 opérations. J’ai pris soin d’y réintroduire les mois à zéro réservation,</w:t>
      </w:r>
      <w:r>
        <w:t xml:space="preserve"> </w:t>
      </w:r>
      <w:r>
        <w:t xml:space="preserve">entre la première et la dernière vente de chaque programme : les omettre reviendrait à ne</w:t>
      </w:r>
      <w:r>
        <w:t xml:space="preserve"> </w:t>
      </w:r>
      <w:r>
        <w:t xml:space="preserve">compter que les mois où quelque chose s’est passé, et donc à surestimer le rythme.</w:t>
      </w:r>
    </w:p>
    <w:p>
      <w:pPr>
        <w:pStyle w:val="BodyText"/>
      </w:pPr>
      <w:r>
        <w:t xml:space="preserve">Un modèle à effets aléatoires sépare alors ce qui revient à l’opération de ce qui revient à</w:t>
      </w:r>
      <w:r>
        <w:t xml:space="preserve"> </w:t>
      </w:r>
      <w:r>
        <w:t xml:space="preserve">la conjoncture. Deux enseignements en ressortent. D’une part, les deux tiers de la variance</w:t>
      </w:r>
      <w:r>
        <w:t xml:space="preserve"> </w:t>
      </w:r>
      <w:r>
        <w:t xml:space="preserve">tiennent au programme lui-même, avec un coefficient de corrélation intraclasse de 0,66 : ce</w:t>
      </w:r>
      <w:r>
        <w:t xml:space="preserve"> </w:t>
      </w:r>
      <w:r>
        <w:t xml:space="preserve">qui distingue les programmes entre eux pèse davantage que la conjoncture qui leur est</w:t>
      </w:r>
      <w:r>
        <w:t xml:space="preserve"> </w:t>
      </w:r>
      <w:r>
        <w:t xml:space="preserve">commune.</w:t>
      </w:r>
      <w:r>
        <w:t xml:space="preserve"> </w:t>
      </w:r>
      <w:r>
        <w:t xml:space="preserve">D’autre part, l’effet du taux d’intérêt est fortement significatif :</w:t>
      </w:r>
      <w:r>
        <w:t xml:space="preserve"> </w:t>
      </w:r>
      <w:r>
        <w:rPr>
          <w:bCs/>
          <w:b/>
        </w:rPr>
        <w:t xml:space="preserve">une hausse d’un point</w:t>
      </w:r>
      <w:r>
        <w:rPr>
          <w:bCs/>
          <w:b/>
        </w:rPr>
        <w:t xml:space="preserve"> </w:t>
      </w:r>
      <w:r>
        <w:rPr>
          <w:bCs/>
          <w:b/>
        </w:rPr>
        <w:t xml:space="preserve">de taux réduit les réservations mensuelles d’environ 19 %</w:t>
      </w:r>
      <w:r>
        <w:t xml:space="preserve">, pour un coefficient de -0,216</w:t>
      </w:r>
      <w:r>
        <w:t xml:space="preserve"> </w:t>
      </w:r>
      <w:r>
        <w:t xml:space="preserve">associé à une p-valeur inférieure à 10</w:t>
      </w:r>
      <w:r>
        <w:rPr>
          <w:vertAlign w:val="superscript"/>
        </w:rPr>
        <w:t xml:space="preserve">-15</w:t>
      </w:r>
      <w:r>
        <w:t xml:space="preserve">. La régression naïve, qui ignore la structure en</w:t>
      </w:r>
      <w:r>
        <w:t xml:space="preserve"> </w:t>
      </w:r>
      <w:r>
        <w:t xml:space="preserve">panel, surestime cet effet ; le modèle à effets aléatoires le corrige.</w:t>
      </w:r>
    </w:p>
    <w:p>
      <w:pPr>
        <w:pStyle w:val="BodyText"/>
      </w:pPr>
      <w:r>
        <w:t xml:space="preserve">J’ai posé un garde-fou méthodologique, qui fonde la manière dont les scénarios sont</w:t>
      </w:r>
      <w:r>
        <w:t xml:space="preserve"> </w:t>
      </w:r>
      <w:r>
        <w:t xml:space="preserve">construits. Sur la série agrégée du groupe, qui compte 114 mois, j’ai mené une régression</w:t>
      </w:r>
      <w:r>
        <w:t xml:space="preserve"> </w:t>
      </w:r>
      <w:r>
        <w:t xml:space="preserve">dynamique à erreurs ARIMA, c’est-à-dire une régression dont les résidus sont eux-mêmes</w:t>
      </w:r>
      <w:r>
        <w:t xml:space="preserve"> </w:t>
      </w:r>
      <w:r>
        <w:t xml:space="preserve">modélisés comme une série temporelle, dans les règles de l’art : vérification que ces</w:t>
      </w:r>
      <w:r>
        <w:t xml:space="preserve"> </w:t>
      </w:r>
      <w:r>
        <w:t xml:space="preserve">résidus sont assimilables à un bruit blanc d’abord, sélection du modèle par le critère AICc</w:t>
      </w:r>
      <w:r>
        <w:t xml:space="preserve"> </w:t>
      </w:r>
      <w:r>
        <w:t xml:space="preserve">ensuite, qui arbitre entre qualité d’ajustement et nombre de paramètres.</w:t>
      </w:r>
      <w:r>
        <w:t xml:space="preserve"> </w:t>
      </w:r>
      <w:r>
        <w:t xml:space="preserve">Cette approche ne parvient pas à identifier l’effet du taux, dont le coefficient y est</w:t>
      </w:r>
      <w:r>
        <w:t xml:space="preserve"> </w:t>
      </w:r>
      <w:r>
        <w:t xml:space="preserve">indiscernable de zéro, avec une p-valeur de 0,82. L’explication tient à la nature de la</w:t>
      </w:r>
      <w:r>
        <w:t xml:space="preserve"> </w:t>
      </w:r>
      <w:r>
        <w:t xml:space="preserve">série : les variations du taux sont trop lentes pour être identifiées sur une seule série</w:t>
      </w:r>
      <w:r>
        <w:t xml:space="preserve"> </w:t>
      </w:r>
      <w:r>
        <w:t xml:space="preserve">de cette longueur.</w:t>
      </w:r>
    </w:p>
    <w:p>
      <w:pPr>
        <w:pStyle w:val="BodyText"/>
      </w:pPr>
      <w:r>
        <w:t xml:space="preserve">Ce résultat négatif dit deux choses. Il confirme d’abord que la significativité obtenue sur</w:t>
      </w:r>
      <w:r>
        <w:t xml:space="preserve"> </w:t>
      </w:r>
      <w:r>
        <w:t xml:space="preserve">le panel n’est pas un artefact de régression fallacieuse, c’est-à-dire d’une corrélation</w:t>
      </w:r>
      <w:r>
        <w:t xml:space="preserve"> </w:t>
      </w:r>
      <w:r>
        <w:t xml:space="preserve">née de la seule tendance commune des deux séries, puisque la voie temporelle, plus</w:t>
      </w:r>
      <w:r>
        <w:t xml:space="preserve"> </w:t>
      </w:r>
      <w:r>
        <w:t xml:space="preserve">exigeante sur ce point, ne produit tout simplement pas d’effet mesurable. Il indique</w:t>
      </w:r>
      <w:r>
        <w:t xml:space="preserve"> </w:t>
      </w:r>
      <w:r>
        <w:t xml:space="preserve">ensuite que les scénarios doivent combiner les deux modèles : la série temporelle fournit</w:t>
      </w:r>
      <w:r>
        <w:t xml:space="preserve"> </w:t>
      </w:r>
      <w:r>
        <w:t xml:space="preserve">la trajectoire de référence, avec sa dynamique et sa saisonnalité, et l’élasticité estimée</w:t>
      </w:r>
      <w:r>
        <w:t xml:space="preserve"> </w:t>
      </w:r>
      <w:r>
        <w:t xml:space="preserve">sur le panel traduit chaque scénario de taux en effet sur le rythme. Sur cette base,</w:t>
      </w:r>
      <w:r>
        <w:t xml:space="preserve"> </w:t>
      </w:r>
      <w:r>
        <w:t xml:space="preserve">présentée en Figure 5.4, une détente à 2,5 % fin 2026 redonnerait environ +6 % de rythme en</w:t>
      </w:r>
      <w:r>
        <w:t xml:space="preserve"> </w:t>
      </w:r>
      <w:r>
        <w:t xml:space="preserve">moyenne sur douze mois, tandis qu’une remontée à 3,5 % en retirerait 3 %.</w:t>
      </w:r>
    </w:p>
    <w:p>
      <w:pPr>
        <w:pStyle w:val="CaptionedFigure"/>
      </w:pPr>
      <w:r>
        <w:drawing>
          <wp:inline>
            <wp:extent cx="5067300" cy="1903409"/>
            <wp:effectExtent b="0" l="0" r="0" t="0"/>
            <wp:docPr descr="Prévision d’intensité de vente à douze mois sous trois scénarios de taux 2026, avec intervalle à 80 %" title="" id="126" name="Picture"/>
            <a:graphic>
              <a:graphicData uri="http://schemas.openxmlformats.org/drawingml/2006/picture">
                <pic:pic>
                  <pic:nvPicPr>
                    <pic:cNvPr descr="figures/fig_5_4_scenarios_taux_2026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5.4 – Prévision d’intensité de vente à douze mois sous trois scénarios de taux 2026, avec intervalle à 80 %</w:t>
      </w:r>
    </w:p>
    <w:p>
      <w:pPr>
        <w:pStyle w:val="BodyText"/>
      </w:pPr>
      <w:r>
        <w:t xml:space="preserve">À l’échelle d’un programme pris isolément, la courbe des réservations cumulées suit une</w:t>
      </w:r>
      <w:r>
        <w:t xml:space="preserve"> </w:t>
      </w:r>
      <w:r>
        <w:t xml:space="preserve">forme en S, que j’ai ajustée par une fonction logistique à trois paramètres. Sur les 28</w:t>
      </w:r>
      <w:r>
        <w:t xml:space="preserve"> </w:t>
      </w:r>
      <w:r>
        <w:t xml:space="preserve">opérations terminées du périmètre, cet ajustement bat la droite dans 25 cas, comme</w:t>
      </w:r>
      <w:r>
        <w:t xml:space="preserve"> </w:t>
      </w:r>
      <w:r>
        <w:t xml:space="preserve">l’illustre la Figure 5.5 sur quatre programmes. Il fournit surtout un indicateur</w:t>
      </w:r>
      <w:r>
        <w:t xml:space="preserve"> </w:t>
      </w:r>
      <w:r>
        <w:t xml:space="preserve">directement utile à la trésorerie : le délai d’atteinte de 90 % du potentiel de vente, dont</w:t>
      </w:r>
      <w:r>
        <w:t xml:space="preserve"> </w:t>
      </w:r>
      <w:r>
        <w:t xml:space="preserve">la médiane est proche de vingt mois.</w:t>
      </w:r>
    </w:p>
    <w:p>
      <w:pPr>
        <w:pStyle w:val="CaptionedFigure"/>
      </w:pPr>
      <w:r>
        <w:drawing>
          <wp:inline>
            <wp:extent cx="5067300" cy="2973549"/>
            <wp:effectExtent b="0" l="0" r="0" t="0"/>
            <wp:docPr descr="Réservations cumulées et courbes logistiques ajustées sur quatre opérations terminées, avec le repère des 90 % du potentiel" title="" id="129" name="Picture"/>
            <a:graphic>
              <a:graphicData uri="http://schemas.openxmlformats.org/drawingml/2006/picture">
                <pic:pic>
                  <pic:nvPicPr>
                    <pic:cNvPr descr="figures/fig_5_5_courbes_logistiques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7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5.5 – Réservations cumulées et courbes logistiques ajustées sur quatre opérations terminées, avec le repère des 90 % du potentiel</w:t>
      </w:r>
    </w:p>
    <w:p>
      <w:pPr>
        <w:pStyle w:val="BodyText"/>
      </w:pPr>
      <w:r>
        <w:t xml:space="preserve">La limite de cet indicateur est connue et vérifiée : en début de commercialisation, le</w:t>
      </w:r>
      <w:r>
        <w:t xml:space="preserve"> </w:t>
      </w:r>
      <w:r>
        <w:t xml:space="preserve">potentiel n’est pas identifiable, l’ajustement pouvant alors produire n’importe quelle</w:t>
      </w:r>
      <w:r>
        <w:t xml:space="preserve"> </w:t>
      </w:r>
      <w:r>
        <w:t xml:space="preserve">valeur. L’outil n’est donc proposé que sur les programmes suffisamment avancés.</w:t>
      </w:r>
    </w:p>
    <w:bookmarkEnd w:id="131"/>
    <w:bookmarkStart w:id="138" w:name="axe-c-prix-du-stock"/>
    <w:p>
      <w:pPr>
        <w:pStyle w:val="Heading3"/>
      </w:pPr>
      <w:r>
        <w:t xml:space="preserve">5.4.5 Axe C : prix du stock</w:t>
      </w:r>
    </w:p>
    <w:p>
      <w:pPr>
        <w:pStyle w:val="FirstParagraph"/>
      </w:pPr>
      <w:r>
        <w:t xml:space="preserve">Repricer le stock suppose d’abord de savoir à quel prix chaque lot devrait se vendre. Le</w:t>
      </w:r>
      <w:r>
        <w:t xml:space="preserve"> </w:t>
      </w:r>
      <w:r>
        <w:t xml:space="preserve">modèle que j’ai construit pour répondre à cette question est volontairement le plus simple</w:t>
      </w:r>
      <w:r>
        <w:t xml:space="preserve"> </w:t>
      </w:r>
      <w:r>
        <w:t xml:space="preserve">qui fonctionne. Il s’agit d’une régression</w:t>
      </w:r>
      <w:r>
        <w:t xml:space="preserve"> </w:t>
      </w:r>
      <w:r>
        <w:t xml:space="preserve">linéaire du logarithme du prix au mètre carré des 5 064 appartements transigés</w:t>
      </w:r>
      <w:r>
        <w:t xml:space="preserve"> </w:t>
      </w:r>
      <w:r>
        <w:t xml:space="preserve">depuis 2016, expliqué par leurs caractéristiques, à savoir la surface, l’étage,</w:t>
      </w:r>
      <w:r>
        <w:t xml:space="preserve"> </w:t>
      </w:r>
      <w:r>
        <w:t xml:space="preserve">l’exposition, le type de produit, l’agence, la commune et la proximité du littoral, ainsi</w:t>
      </w:r>
      <w:r>
        <w:t xml:space="preserve"> </w:t>
      </w:r>
      <w:r>
        <w:t xml:space="preserve">que par leur année de réservation. Ce modèle explique 88,6 % de la variance sur</w:t>
      </w:r>
      <w:r>
        <w:t xml:space="preserve"> </w:t>
      </w:r>
      <w:r>
        <w:t xml:space="preserve">l’échantillon test, avec une erreur type d’environ 11 % sur le prix.</w:t>
      </w:r>
    </w:p>
    <w:p>
      <w:pPr>
        <w:pStyle w:val="BodyText"/>
      </w:pPr>
      <w:r>
        <w:t xml:space="preserve">Son intérêt principal n’est pas sa performance mais sa lisibilité : ses coefficients se</w:t>
      </w:r>
      <w:r>
        <w:t xml:space="preserve"> </w:t>
      </w:r>
      <w:r>
        <w:t xml:space="preserve">lisent comme des prix implicites, ce qui permet de les discuter avec la direction</w:t>
      </w:r>
      <w:r>
        <w:t xml:space="preserve"> </w:t>
      </w:r>
      <w:r>
        <w:t xml:space="preserve">commerciale. On y lit une prime d’étage de +6 %, une prime d’exposition sud, une décote de</w:t>
      </w:r>
      <w:r>
        <w:t xml:space="preserve"> </w:t>
      </w:r>
      <w:r>
        <w:t xml:space="preserve">63 % pour le logement social, qui s’explique par des prix réglementés, et un effet millésime</w:t>
      </w:r>
      <w:r>
        <w:t xml:space="preserve"> </w:t>
      </w:r>
      <w:r>
        <w:t xml:space="preserve">d’environ +19 points entre 2016 et 2023, suivi d’un plateau. La Figure 5.6 représente cet</w:t>
      </w:r>
      <w:r>
        <w:t xml:space="preserve"> </w:t>
      </w:r>
      <w:r>
        <w:t xml:space="preserve">effet millésime année par année.</w:t>
      </w:r>
    </w:p>
    <w:p>
      <w:pPr>
        <w:pStyle w:val="CaptionedFigure"/>
      </w:pPr>
      <w:r>
        <w:drawing>
          <wp:inline>
            <wp:extent cx="4693920" cy="1734156"/>
            <wp:effectExtent b="0" l="0" r="0" t="0"/>
            <wp:docPr descr="Effet millésime du modèle de prix : prime par année de réservation, référence 2016" title="" id="133" name="Picture"/>
            <a:graphic>
              <a:graphicData uri="http://schemas.openxmlformats.org/drawingml/2006/picture">
                <pic:pic>
                  <pic:nvPicPr>
                    <pic:cNvPr descr="figures/fig_5_6_effet_millesime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3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5.6 – Effet millésime du modèle de prix : prime par année de réservation, référence 2016</w:t>
      </w:r>
    </w:p>
    <w:p>
      <w:pPr>
        <w:pStyle w:val="BodyText"/>
      </w:pPr>
      <w:r>
        <w:t xml:space="preserve">Ce plateau mérite d’être commenté, car il recoupe l’axe B. Les prix du neuf n’ont pas</w:t>
      </w:r>
      <w:r>
        <w:t xml:space="preserve"> </w:t>
      </w:r>
      <w:r>
        <w:t xml:space="preserve">baissé avec la remontée des taux : c’est le volume qui s’est ajusté, en parfaite cohérence</w:t>
      </w:r>
      <w:r>
        <w:t xml:space="preserve"> </w:t>
      </w:r>
      <w:r>
        <w:t xml:space="preserve">avec l’axe B. J’ai également testé une variante régularisée du</w:t>
      </w:r>
      <w:r>
        <w:t xml:space="preserve"> </w:t>
      </w:r>
      <w:r>
        <w:t xml:space="preserve">modèle, sans gain : 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BodyText"/>
      </w:pPr>
      <w:r>
        <w:t xml:space="preserve">Appliqué aux 127 appartements en stock, ce modèle sert de détecteur. Au seuil d’une erreur</w:t>
      </w:r>
      <w:r>
        <w:t xml:space="preserve"> </w:t>
      </w:r>
      <w:r>
        <w:t xml:space="preserve">type, 103 lots sont dans le marché, 8 se situent au-dessus du prix estimé et 16 en dessous.</w:t>
      </w:r>
      <w:r>
        <w:t xml:space="preserve"> </w:t>
      </w:r>
      <w:r>
        <w:t xml:space="preserve">La Figure 5.7 confronte le prix de grille au prix de marché estimé et matérialise cette</w:t>
      </w:r>
      <w:r>
        <w:t xml:space="preserve"> </w:t>
      </w:r>
      <w:r>
        <w:t xml:space="preserve">bande de tolérance.</w:t>
      </w:r>
    </w:p>
    <w:p>
      <w:pPr>
        <w:pStyle w:val="CaptionedFigure"/>
      </w:pPr>
      <w:r>
        <w:drawing>
          <wp:inline>
            <wp:extent cx="4693920" cy="1843011"/>
            <wp:effectExtent b="0" l="0" r="0" t="0"/>
            <wp:docPr descr="Stock d’appartements : prix de grille contre prix de marché estimé, avec la bande à plus ou moins une erreur type" title="" id="136" name="Picture"/>
            <a:graphic>
              <a:graphicData uri="http://schemas.openxmlformats.org/drawingml/2006/picture">
                <pic:pic>
                  <pic:nvPicPr>
                    <pic:cNvPr descr="figures/fig_5_7_stock_prix_marche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4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5.7 – Stock d’appartements : prix de grille contre prix de marché estimé, avec la bande à plus ou moins une erreur type</w:t>
      </w:r>
    </w:p>
    <w:p>
      <w:pPr>
        <w:pStyle w:val="BodyText"/>
      </w:pPr>
      <w:r>
        <w:t xml:space="preserve">La recommandation de remise est ensuite posée comme une petite optimisation sous</w:t>
      </w:r>
      <w:r>
        <w:t xml:space="preserve"> </w:t>
      </w:r>
      <w:r>
        <w:t xml:space="preserve">contrainte : maximiser le revenu attendu à douze mois d’une opération, en ajustant chaque</w:t>
      </w:r>
      <w:r>
        <w:t xml:space="preserve"> </w:t>
      </w:r>
      <w:r>
        <w:t xml:space="preserve">prix dans des bornes commerciales de -10 à +5 %, sous un objectif d’accélération de</w:t>
      </w:r>
      <w:r>
        <w:t xml:space="preserve"> </w:t>
      </w:r>
      <w:r>
        <w:t xml:space="preserve">l’écoulement, la demande réagissant au prix avec une élasticité fixée à -1, c’est-à-dire</w:t>
      </w:r>
      <w:r>
        <w:t xml:space="preserve"> </w:t>
      </w:r>
      <w:r>
        <w:t xml:space="preserve">une baisse de prix de 1 % qui ferait vendre 1 % de plus.</w:t>
      </w:r>
    </w:p>
    <w:p>
      <w:pPr>
        <w:pStyle w:val="BodyText"/>
      </w:pPr>
      <w:r>
        <w:t xml:space="preserve">Ce paramètre d’élasticité est la fragilité assumée de l’axe, et je préfère l’exposer que la</w:t>
      </w:r>
      <w:r>
        <w:t xml:space="preserve"> </w:t>
      </w:r>
      <w:r>
        <w:t xml:space="preserve">laisser découvrir. Mon estimation interne donne -0,81, valeur qui a le bon signe mais qui</w:t>
      </w:r>
      <w:r>
        <w:t xml:space="preserve"> </w:t>
      </w:r>
      <w:r>
        <w:t xml:space="preserve">n’est pas significative sur les 95 opérations disponibles. La valeur retenue vient donc de</w:t>
      </w:r>
      <w:r>
        <w:t xml:space="preserve"> </w:t>
      </w:r>
      <w:r>
        <w:t xml:space="preserve">la littérature sur le logement neuf, et non de nos données.</w:t>
      </w:r>
    </w:p>
    <w:p>
      <w:pPr>
        <w:pStyle w:val="BodyText"/>
      </w:pPr>
      <w:r>
        <w:t xml:space="preserve">Le résultat, lui, est robuste et contre-intuitif. À cette élasticité, la remise optimale</w:t>
      </w:r>
      <w:r>
        <w:t xml:space="preserve"> </w:t>
      </w:r>
      <w:r>
        <w:t xml:space="preserve">est uniforme en euros sur tous les lots, de l’ordre de 23 k€ par lot sur l’opération</w:t>
      </w:r>
      <w:r>
        <w:t xml:space="preserve"> </w:t>
      </w:r>
      <w:r>
        <w:t xml:space="preserve">d’application. Elle est donc proportionnellement plus forte sur les petits lots, à</w:t>
      </w:r>
      <w:r>
        <w:t xml:space="preserve"> </w:t>
      </w:r>
      <w:r>
        <w:t xml:space="preserve">l’inverse de la pratique actuelle des remises accordées au cas par cas. Sur l’opération</w:t>
      </w:r>
      <w:r>
        <w:t xml:space="preserve"> </w:t>
      </w:r>
      <w:r>
        <w:t xml:space="preserve">test, qui compte 18 appartements en stock, viser +8 % d’écoulement déplace le volume</w:t>
      </w:r>
      <w:r>
        <w:t xml:space="preserve"> </w:t>
      </w:r>
      <w:r>
        <w:t xml:space="preserve">attendu de 6,8 à 7,4 lots pour un revenu quasi inchangé, en recul de 0,3 %. L’intérêt de la</w:t>
      </w:r>
      <w:r>
        <w:t xml:space="preserve"> </w:t>
      </w:r>
      <w:r>
        <w:t xml:space="preserve">manœuvre n’est donc pas le revenu immédiat mais la vitesse, et l’économie de frais de</w:t>
      </w:r>
      <w:r>
        <w:t xml:space="preserve"> </w:t>
      </w:r>
      <w:r>
        <w:t xml:space="preserve">portage que l’objectif ne compte pas.</w:t>
      </w:r>
    </w:p>
    <w:bookmarkEnd w:id="138"/>
    <w:bookmarkStart w:id="139" w:name="signaux-faibles-texte-et-réseau"/>
    <w:p>
      <w:pPr>
        <w:pStyle w:val="Heading3"/>
      </w:pPr>
      <w:r>
        <w:t xml:space="preserve">5.4.6 Signaux faibles (texte et réseau)</w:t>
      </w:r>
    </w:p>
    <w:p>
      <w:pPr>
        <w:pStyle w:val="FirstParagraph"/>
      </w:pPr>
      <w:r>
        <w:t xml:space="preserve">Trois constats simples, obtenus avec des moyens simples, complètent le dispositif.</w:t>
      </w:r>
    </w:p>
    <w:p>
      <w:pPr>
        <w:pStyle w:val="BodyText"/>
      </w:pPr>
      <w:r>
        <w:t xml:space="preserve">Le premier est un moteur de recherche par similarité, construit sur les 9 688 commentaires</w:t>
      </w:r>
      <w:r>
        <w:t xml:space="preserve"> </w:t>
      </w:r>
      <w:r>
        <w:t xml:space="preserve">libres de vente. Une requête formulée en langage courant, comme « refus de prêt banque » ou</w:t>
      </w:r>
      <w:r>
        <w:t xml:space="preserve"> </w:t>
      </w:r>
      <w:r>
        <w:t xml:space="preserve">« remise prix hors pack », remonte les dossiers concernés. C’est un outil d’audit des</w:t>
      </w:r>
      <w:r>
        <w:t xml:space="preserve"> </w:t>
      </w:r>
      <w:r>
        <w:t xml:space="preserve">remises non structurées réellement utilisable.</w:t>
      </w:r>
    </w:p>
    <w:p>
      <w:pPr>
        <w:pStyle w:val="BodyText"/>
      </w:pPr>
      <w:r>
        <w:t xml:space="preserve">Le deuxième porte sur les motifs de désistement, analysés par agence. Le profil obtenu</w:t>
      </w:r>
      <w:r>
        <w:t xml:space="preserve"> </w:t>
      </w:r>
      <w:r>
        <w:t xml:space="preserve">révèle un problème de qualité de saisie plus qu’un fait commercial : à Salon-de-Provence,</w:t>
      </w:r>
      <w:r>
        <w:t xml:space="preserve"> </w:t>
      </w:r>
      <w:r>
        <w:t xml:space="preserve">90 % des motifs sont enregistrés en « Autres motifs », rendant les désistements de cette</w:t>
      </w:r>
      <w:r>
        <w:t xml:space="preserve"> </w:t>
      </w:r>
      <w:r>
        <w:t xml:space="preserve">agence inanalysables tant que la saisie n’est pas fiabilisée.</w:t>
      </w:r>
    </w:p>
    <w:p>
      <w:pPr>
        <w:pStyle w:val="BodyText"/>
      </w:pPr>
      <w:r>
        <w:t xml:space="preserve">Le troisième porte sur la structure du réseau de vente, qui se révèle très concentrée. Deux</w:t>
      </w:r>
      <w:r>
        <w:t xml:space="preserve"> </w:t>
      </w:r>
      <w:r>
        <w:t xml:space="preserve">acteurs, le réseau interne et un prescripteur externe, portent à eux seuls 51,6 % des</w:t>
      </w:r>
      <w:r>
        <w:t xml:space="preserve"> </w:t>
      </w:r>
      <w:r>
        <w:t xml:space="preserve">dossiers attribués, avec des taux de désistement allant du simple au triple : 9 % pour le</w:t>
      </w:r>
      <w:r>
        <w:t xml:space="preserve"> </w:t>
      </w:r>
      <w:r>
        <w:t xml:space="preserve">réseau interne contre 29,6 % pour le prescripteur externe. L’écart a une traduction</w:t>
      </w:r>
      <w:r>
        <w:t xml:space="preserve"> </w:t>
      </w:r>
      <w:r>
        <w:t xml:space="preserve">financière immédiate, puisque chaque commission versée sur un dossier qui n’aboutit pas est</w:t>
      </w:r>
      <w:r>
        <w:t xml:space="preserve"> </w:t>
      </w:r>
      <w:r>
        <w:t xml:space="preserve">une dépense sans recette.</w:t>
      </w:r>
    </w:p>
    <w:p>
      <w:pPr>
        <w:pStyle w:val="BodyText"/>
      </w:pPr>
      <w:r>
        <w:t xml:space="preserve">J’ai enfin tenté de prédire le désistement à partir du seul texte du commentaire, avec un</w:t>
      </w:r>
      <w:r>
        <w:t xml:space="preserve"> </w:t>
      </w:r>
      <w:r>
        <w:t xml:space="preserve">contrôle de fuite soigneux pour ne pas utiliser d’information postérieure au désistement.</w:t>
      </w:r>
      <w:r>
        <w:t xml:space="preserve"> </w:t>
      </w:r>
      <w:r>
        <w:t xml:space="preserve">Cette tentative plafonne à un score F1 de 0,34 : le texte seul ne suffit pas, et il est donc</w:t>
      </w:r>
      <w:r>
        <w:t xml:space="preserve"> </w:t>
      </w:r>
      <w:r>
        <w:t xml:space="preserve">traité comme un signal d’appoint et non comme un prédicteur.</w:t>
      </w:r>
    </w:p>
    <w:bookmarkEnd w:id="139"/>
    <w:bookmarkEnd w:id="140"/>
    <w:bookmarkStart w:id="147" w:name="plateforme-streamlit"/>
    <w:p>
      <w:pPr>
        <w:pStyle w:val="Heading2"/>
      </w:pPr>
      <w:r>
        <w:t xml:space="preserve">5.5 Plateforme Streamlit</w:t>
      </w:r>
    </w:p>
    <w:p>
      <w:pPr>
        <w:pStyle w:val="FirstParagraph"/>
      </w:pPr>
      <w:r>
        <w:t xml:space="preserve">L’application finale est la meilleure réponse au risque de sur-complexité que j’évoquais en</w:t>
      </w:r>
      <w:r>
        <w:t xml:space="preserve"> </w:t>
      </w:r>
      <w:r>
        <w:t xml:space="preserve">ouverture de ce chapitre : ce qui est livré au métier est simple. Cinq pages, un périmètre</w:t>
      </w:r>
      <w:r>
        <w:t xml:space="preserve"> </w:t>
      </w:r>
      <w:r>
        <w:t xml:space="preserve">restreint aux 147 opérations de promotion, et aucun terme de modélisation à l’écran.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, présentée en Figure 5.8, donne la situation en quelques secondes :</w:t>
      </w:r>
      <w:r>
        <w:t xml:space="preserve"> </w:t>
      </w:r>
      <w:r>
        <w:t xml:space="preserve">147 opérations suivies, dont 10 en alerte et 2 à surveiller parmi les 68 opérations en cours</w:t>
      </w:r>
      <w:r>
        <w:t xml:space="preserve"> </w:t>
      </w:r>
      <w:r>
        <w:t xml:space="preserve">suffisamment engagées, les 56 autres étant conformes, 421 lots principaux en stock, un rythme</w:t>
      </w:r>
      <w:r>
        <w:t xml:space="preserve"> </w:t>
      </w:r>
      <w:r>
        <w:t xml:space="preserve">récent de 4,8 réservations par opération et par mois, pour un taux de crédit à 3,11 %.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 Vue d’ensemble »" title="" id="142" name="Picture"/>
            <a:graphic>
              <a:graphicData uri="http://schemas.openxmlformats.org/drawingml/2006/picture">
                <pic:pic>
                  <pic:nvPicPr>
                    <pic:cNvPr descr="figures/fig_5_8_plateforme_vue_ensemble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5.8 – Plateforme, page « Vue d’ensemble »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, présentée en Figure 5.9, classe les opérations par niveau</w:t>
      </w:r>
      <w:r>
        <w:t xml:space="preserve"> </w:t>
      </w:r>
      <w:r>
        <w:t xml:space="preserve">d’alerte, le score de l’axe A étant traduit en trois niveaux. Elle affiche surtout, pour</w:t>
      </w:r>
      <w:r>
        <w:t xml:space="preserve"> </w:t>
      </w:r>
      <w:r>
        <w:t xml:space="preserve">chaque opération, les dépassements déjà engagés en euros et les postes concernés. C’est la</w:t>
      </w:r>
      <w:r>
        <w:t xml:space="preserve"> </w:t>
      </w:r>
      <w:r>
        <w:t xml:space="preserve">page la plus consultée, et il faut redire qu’elle repose sur du SQL et non sur un modèle.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 Alertes marge » : niveaux d’alerte et dépassements engagés en euros" title="" id="145" name="Picture"/>
            <a:graphic>
              <a:graphicData uri="http://schemas.openxmlformats.org/drawingml/2006/picture">
                <pic:pic>
                  <pic:nvPicPr>
                    <pic:cNvPr descr="figures/fig_5_9_plateforme_alertes_marg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5.9 – Plateforme, page « Alertes marge » : niveaux d’alerte et dépassements engagés en euros</w:t>
      </w:r>
    </w:p>
    <w:p>
      <w:pPr>
        <w:pStyle w:val="BodyText"/>
      </w:pPr>
      <w:r>
        <w:t xml:space="preserve">Les trois autres pages transposent les axes restants.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fait de</w:t>
      </w:r>
      <w:r>
        <w:t xml:space="preserve"> </w:t>
      </w:r>
      <w:r>
        <w:t xml:space="preserve">l’axe B un simulateur : un curseur de taux 2026 produit une phrase de résultat fondée sur</w:t>
      </w:r>
      <w:r>
        <w:t xml:space="preserve"> </w:t>
      </w:r>
      <w:r>
        <w:t xml:space="preserve">l’élasticité du panel, et la trajectoire d’écoulement de chaque programme donne son délai</w:t>
      </w:r>
      <w:r>
        <w:t xml:space="preserve"> </w:t>
      </w:r>
      <w:r>
        <w:t xml:space="preserve">estimé. La 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 alerte de saisie comprise.</w:t>
      </w:r>
    </w:p>
    <w:p>
      <w:pPr>
        <w:pStyle w:val="BodyText"/>
      </w:pPr>
      <w:r>
        <w:t xml:space="preserve">Chaque page a été vérifiée par le cadre de test de Streamlit, en contrôlant qu’elle</w:t>
      </w:r>
      <w:r>
        <w:t xml:space="preserve"> </w:t>
      </w:r>
      <w:r>
        <w:t xml:space="preserve">s’exécute sans exception, y compris aux bornes des curseurs et sur les sélections vides,</w:t>
      </w:r>
      <w:r>
        <w:t xml:space="preserve"> </w:t>
      </w:r>
      <w:r>
        <w:t xml:space="preserve">et l’ensemble se reconstruit depuis les exports bruts, conformément à l’exigence de</w:t>
      </w:r>
      <w:r>
        <w:t xml:space="preserve"> </w:t>
      </w:r>
      <w:r>
        <w:t xml:space="preserve">reproductibilité posée au départ.</w:t>
      </w:r>
    </w:p>
    <w:bookmarkEnd w:id="147"/>
    <w:bookmarkStart w:id="148" w:name="périmètre-et-limites"/>
    <w:p>
      <w:pPr>
        <w:pStyle w:val="Heading2"/>
      </w:pPr>
      <w:r>
        <w:t xml:space="preserve">5.6 Périmètre et limites</w:t>
      </w:r>
    </w:p>
    <w:p>
      <w:pPr>
        <w:pStyle w:val="FirstParagraph"/>
      </w:pPr>
      <w:r>
        <w:t xml:space="preserve">Je considère que l’énoncé des limites fait partie du livrable, au même titre que les</w:t>
      </w:r>
      <w:r>
        <w:t xml:space="preserve"> </w:t>
      </w:r>
      <w:r>
        <w:t xml:space="preserve">résultats. Les présenter comme telles est aussi ce qui permet à la direction financière de</w:t>
      </w:r>
      <w:r>
        <w:t xml:space="preserve"> </w:t>
      </w:r>
      <w:r>
        <w:t xml:space="preserve">savoir jusqu’où elle peut s’appuyer sur l’outil.</w:t>
      </w:r>
    </w:p>
    <w:p>
      <w:pPr>
        <w:pStyle w:val="BodyText"/>
      </w:pPr>
      <w:r>
        <w:t xml:space="preserve">La limite principale est structurelle et commande la suite du projet : les données</w:t>
      </w:r>
      <w:r>
        <w:t xml:space="preserve"> </w:t>
      </w:r>
      <w:r>
        <w:t xml:space="preserve">budgétaires sont une photographie à date, sans historique des révisions. C’est elle qui</w:t>
      </w:r>
      <w:r>
        <w:t xml:space="preserve"> </w:t>
      </w:r>
      <w:r>
        <w:t xml:space="preserve">plafonne l’axe A, avec un coefficient de détermination de 0,08 en régression et des scores</w:t>
      </w:r>
      <w:r>
        <w:t xml:space="preserve"> </w:t>
      </w:r>
      <w:r>
        <w:t xml:space="preserve">F1 de l’ordre de 0,3 en classification. On ne peut pas apprendre la dynamique d’une dérive</w:t>
      </w:r>
      <w:r>
        <w:t xml:space="preserve"> </w:t>
      </w:r>
      <w:r>
        <w:t xml:space="preserve">sur une image fixe. Ma première recommandation à l’entreprise est donc d’historiser les</w:t>
      </w:r>
      <w:r>
        <w:t xml:space="preserve"> </w:t>
      </w:r>
      <w:r>
        <w:t xml:space="preserve">exports mensuels dans le nouvel ERP : au bout d’un an, le score statique deviendra un</w:t>
      </w:r>
      <w:r>
        <w:t xml:space="preserve"> </w:t>
      </w:r>
      <w:r>
        <w:t xml:space="preserve">véritable suivi de trajectoire.</w:t>
      </w:r>
    </w:p>
    <w:p>
      <w:pPr>
        <w:pStyle w:val="BodyText"/>
      </w:pPr>
      <w:r>
        <w:t xml:space="preserve">Les autres limites sont assumées et documentées :</w:t>
      </w:r>
    </w:p>
    <w:p>
      <w:pPr>
        <w:numPr>
          <w:ilvl w:val="0"/>
          <w:numId w:val="1034"/>
        </w:numPr>
        <w:pStyle w:val="Compact"/>
      </w:pPr>
      <w:r>
        <w:t xml:space="preserve">L’échantillon de l’axe A est petit, 123 opérations, et les écarts entre modèles y sont</w:t>
      </w:r>
      <w:r>
        <w:t xml:space="preserve"> </w:t>
      </w:r>
      <w:r>
        <w:t xml:space="preserve">indiscernables ; c’est ce qui a motivé le choix d’un modèle interprétable unique plutôt</w:t>
      </w:r>
      <w:r>
        <w:t xml:space="preserve"> </w:t>
      </w:r>
      <w:r>
        <w:t xml:space="preserve">qu’une sélection par performance.</w:t>
      </w:r>
    </w:p>
    <w:p>
      <w:pPr>
        <w:numPr>
          <w:ilvl w:val="0"/>
          <w:numId w:val="1034"/>
        </w:numPr>
        <w:pStyle w:val="Compact"/>
      </w:pPr>
      <w:r>
        <w:t xml:space="preserve">L’élasticité de l’axe C n’a pas pu être estimée significativement en interne et vient de</w:t>
      </w:r>
      <w:r>
        <w:t xml:space="preserve"> </w:t>
      </w:r>
      <w:r>
        <w:t xml:space="preserve">la littérature. Les recommandations de prix sont donc des aides à la décision, non</w:t>
      </w:r>
      <w:r>
        <w:t xml:space="preserve"> </w:t>
      </w:r>
      <w:r>
        <w:t xml:space="preserve">opposables, et la grille reste sous le contrôle de la direction commerciale.</w:t>
      </w:r>
    </w:p>
    <w:p>
      <w:pPr>
        <w:numPr>
          <w:ilvl w:val="0"/>
          <w:numId w:val="1034"/>
        </w:numPr>
        <w:pStyle w:val="Compact"/>
      </w:pPr>
      <w:r>
        <w:t xml:space="preserve">Les intervalles de prévision de l’axe B ignorent l’incertitude sur les taux futurs</w:t>
      </w:r>
      <w:r>
        <w:t xml:space="preserve"> </w:t>
      </w:r>
      <w:r>
        <w:t xml:space="preserve">eux-mêmes, ce qui est précisément la raison pour laquelle la plateforme présente des</w:t>
      </w:r>
      <w:r>
        <w:t xml:space="preserve"> </w:t>
      </w:r>
      <w:r>
        <w:t xml:space="preserve">scénarios plutôt qu’une prévision unique.</w:t>
      </w:r>
    </w:p>
    <w:p>
      <w:pPr>
        <w:numPr>
          <w:ilvl w:val="0"/>
          <w:numId w:val="1034"/>
        </w:numPr>
        <w:pStyle w:val="Compact"/>
      </w:pPr>
      <w:r>
        <w:t xml:space="preserve">Le texte des commentaires est un signal d’appoint, et non un prédicteur.</w:t>
      </w:r>
    </w:p>
    <w:p>
      <w:pPr>
        <w:pStyle w:val="FirstParagraph"/>
      </w:pPr>
      <w:r>
        <w:t xml:space="preserve">Enfin, la plateforme couvre la promotion, soit 147 opérations, et exclut l’aménagement</w:t>
      </w:r>
      <w:r>
        <w:t xml:space="preserve"> </w:t>
      </w:r>
      <w:r>
        <w:t xml:space="preserve">foncier, dont la logique économique justifierait un traitement dédié. L’analyse, elle,</w:t>
      </w:r>
      <w:r>
        <w:t xml:space="preserve"> </w:t>
      </w:r>
      <w:r>
        <w:t xml:space="preserve">couvre bien les 267 opérations, périmètre des exports de gestion à la date d’extraction. La</w:t>
      </w:r>
      <w:r>
        <w:t xml:space="preserve"> </w:t>
      </w:r>
      <w:r>
        <w:t xml:space="preserve">frontière entre les deux activités ressort d’ailleurs d’elle-même dès l’analyse</w:t>
      </w:r>
      <w:r>
        <w:t xml:space="preserve"> </w:t>
      </w:r>
      <w:r>
        <w:t xml:space="preserve">exploratoire, constituant une validation involontaire du choix de périmètre demandé par</w:t>
      </w:r>
      <w:r>
        <w:t xml:space="preserve"> </w:t>
      </w:r>
      <w:r>
        <w:t xml:space="preserve">l’entreprise.</w:t>
      </w:r>
    </w:p>
    <w:bookmarkEnd w:id="148"/>
    <w:bookmarkStart w:id="149" w:name="conclusion-du-chapitre"/>
    <w:p>
      <w:pPr>
        <w:pStyle w:val="Heading2"/>
      </w:pPr>
      <w:r>
        <w:t xml:space="preserve">5.7 Conclusion du chapitre</w:t>
      </w:r>
    </w:p>
    <w:p>
      <w:pPr>
        <w:pStyle w:val="FirstParagraph"/>
      </w:pPr>
      <w:r>
        <w:t xml:space="preserve">Le Copilote Financier répond aux trois questions posées en ouverture, mais il n’y répond</w:t>
      </w:r>
      <w:r>
        <w:t xml:space="preserve"> </w:t>
      </w:r>
      <w:r>
        <w:t xml:space="preserve">pas avec la même force, et je crois qu’il est plus honnête de le dire que de présenter un</w:t>
      </w:r>
      <w:r>
        <w:t xml:space="preserve"> </w:t>
      </w:r>
      <w:r>
        <w:t xml:space="preserve">ensemble homogène. L’axe B est solide : l’effet du taux d’intérêt sur le rythme de</w:t>
      </w:r>
      <w:r>
        <w:t xml:space="preserve"> </w:t>
      </w:r>
      <w:r>
        <w:t xml:space="preserve">réservation est mesuré, séparé de l’effet propre à chaque programme, et confirmé par un</w:t>
      </w:r>
      <w:r>
        <w:t xml:space="preserve"> </w:t>
      </w:r>
      <w:r>
        <w:t xml:space="preserve">garde-fou méthodologique qui aurait pu l’invalider. L’axe C est lisible et directement</w:t>
      </w:r>
      <w:r>
        <w:t xml:space="preserve"> </w:t>
      </w:r>
      <w:r>
        <w:t xml:space="preserve">discutable avec la direction commerciale, à la réserve près d’un paramètre d’élasticité</w:t>
      </w:r>
      <w:r>
        <w:t xml:space="preserve"> </w:t>
      </w:r>
      <w:r>
        <w:t xml:space="preserve">emprunté à la littérature. L’axe A, enfin, ne dépasse pas le stade du score de tri, et sa</w:t>
      </w:r>
      <w:r>
        <w:t xml:space="preserve"> </w:t>
      </w:r>
      <w:r>
        <w:t xml:space="preserve">partie la plus utilisée n’est pas un modèle mais une requête SQL.</w:t>
      </w:r>
    </w:p>
    <w:p>
      <w:pPr>
        <w:pStyle w:val="BodyText"/>
      </w:pPr>
      <w:r>
        <w:t xml:space="preserve">Ce déséquilibre n’est pas un accident de parcours, c’est une conséquence directe de la donnée</w:t>
      </w:r>
      <w:r>
        <w:t xml:space="preserve"> </w:t>
      </w:r>
      <w:r>
        <w:t xml:space="preserve">disponible. Là où j’avais une profondeur temporelle, le modèle a produit un résultat</w:t>
      </w:r>
      <w:r>
        <w:t xml:space="preserve"> </w:t>
      </w:r>
      <w:r>
        <w:t xml:space="preserve">exploitable ; là où je n’avais qu’une photographie à date, il n’a pas pu en produire. Cette</w:t>
      </w:r>
      <w:r>
        <w:t xml:space="preserve"> </w:t>
      </w:r>
      <w:r>
        <w:t xml:space="preserve">observation est, pour moi, l’apport principal du projet, et elle vérifie la thèse annoncée en</w:t>
      </w:r>
      <w:r>
        <w:t xml:space="preserve"> </w:t>
      </w:r>
      <w:r>
        <w:t xml:space="preserve">introduction : la structure de la donnée commande ce que la modélisation peut en tirer.</w:t>
      </w:r>
    </w:p>
    <w:p>
      <w:pPr>
        <w:pStyle w:val="BodyText"/>
      </w:pPr>
      <w:r>
        <w:t xml:space="preserve">Ce chapitre et les deux chantiers de reprise qui le précèdent se répondent précisément sur ce</w:t>
      </w:r>
      <w:r>
        <w:t xml:space="preserve"> </w:t>
      </w:r>
      <w:r>
        <w:t xml:space="preserve">point. Les chapitres 2 et 3 racontent la reconstitution d’un socle de gestion dans un nouvel</w:t>
      </w:r>
      <w:r>
        <w:t xml:space="preserve"> </w:t>
      </w:r>
      <w:r>
        <w:t xml:space="preserve">ERP, avec ses séquences d’injection, ses clés d’unicité, ses contournements de format et ses</w:t>
      </w:r>
      <w:r>
        <w:t xml:space="preserve"> </w:t>
      </w:r>
      <w:r>
        <w:t xml:space="preserve">arbitrages documentés. Celui-ci raconte ce que l’on peut faire d’un patrimoine de données une</w:t>
      </w:r>
      <w:r>
        <w:t xml:space="preserve"> </w:t>
      </w:r>
      <w:r>
        <w:t xml:space="preserve">fois qu’il est fiable, et ce que l’on ne peut pas en faire lorsqu’il lui manque une</w:t>
      </w:r>
      <w:r>
        <w:t xml:space="preserve"> </w:t>
      </w:r>
      <w:r>
        <w:t xml:space="preserve">dimension. Le lien entre eux n’est pas rhétorique : les deux recommandations formulées plus</w:t>
      </w:r>
      <w:r>
        <w:t xml:space="preserve"> </w:t>
      </w:r>
      <w:r>
        <w:t xml:space="preserve">haut, historiser les exports mensuels et fiabiliser la saisie des motifs de désistement, sont</w:t>
      </w:r>
      <w:r>
        <w:t xml:space="preserve"> </w:t>
      </w:r>
      <w:r>
        <w:t xml:space="preserve">exactement de la même nature que le travail décrit aux chapitres 2 et 3. Ce sont des travaux</w:t>
      </w:r>
      <w:r>
        <w:t xml:space="preserve"> </w:t>
      </w:r>
      <w:r>
        <w:t xml:space="preserve">de structure, faits pour rendre possible une analyse à venir.</w:t>
      </w:r>
    </w:p>
    <w:p>
      <w:pPr>
        <w:pStyle w:val="BodyText"/>
      </w:pPr>
      <w:r>
        <w:t xml:space="preserve">Une succession de récits de mission ne fait pourtant pas un bilan. Comment ces projets</w:t>
      </w:r>
      <w:r>
        <w:t xml:space="preserve"> </w:t>
      </w:r>
      <w:r>
        <w:t xml:space="preserve">ont-ils été conduits, avec quelles méthodes, comment ai-je su que le résultat était bon, et</w:t>
      </w:r>
      <w:r>
        <w:t xml:space="preserve"> </w:t>
      </w:r>
      <w:r>
        <w:t xml:space="preserve">qu’est-ce qui n’a pas fonctionné ? Le chapitre suivant relit transversalement les quatre</w:t>
      </w:r>
      <w:r>
        <w:t xml:space="preserve"> </w:t>
      </w:r>
      <w:r>
        <w:t xml:space="preserve">missions sous ces angles.</w:t>
      </w:r>
    </w:p>
    <w:bookmarkEnd w:id="149"/>
    <w:bookmarkEnd w:id="150"/>
    <w:bookmarkStart w:id="169" w:name="X71b58e9a93246cbdaddafacfeb9b6a6a32a0655"/>
    <w:p>
      <w:pPr>
        <w:pStyle w:val="Heading1"/>
      </w:pPr>
      <w:r>
        <w:t xml:space="preserve">6 Conduite de projet, méthodes et évaluation : une lecture transversale de l’année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35"/>
        </w:numPr>
        <w:pStyle w:val="Compact"/>
      </w:pPr>
      <w:r>
        <w:t xml:space="preserve">6.1 La conduite de projet : quatre missions, deux régimes</w:t>
      </w:r>
    </w:p>
    <w:p>
      <w:pPr>
        <w:numPr>
          <w:ilvl w:val="1"/>
          <w:numId w:val="1036"/>
        </w:numPr>
        <w:pStyle w:val="Compact"/>
      </w:pPr>
      <w:r>
        <w:t xml:space="preserve">6.1.1 Le régime de la reprise : itératif et piloté par les rejets</w:t>
      </w:r>
    </w:p>
    <w:p>
      <w:pPr>
        <w:numPr>
          <w:ilvl w:val="1"/>
          <w:numId w:val="1036"/>
        </w:numPr>
        <w:pStyle w:val="Compact"/>
      </w:pPr>
      <w:r>
        <w:t xml:space="preserve">6.1.2 Le régime du projet analytique : cadrer, explorer, restituer</w:t>
      </w:r>
    </w:p>
    <w:p>
      <w:pPr>
        <w:numPr>
          <w:ilvl w:val="1"/>
          <w:numId w:val="1036"/>
        </w:numPr>
        <w:pStyle w:val="Compact"/>
      </w:pPr>
      <w:r>
        <w:t xml:space="preserve">6.1.3 Un arbitrage récurrent entre exhaustivité et continuité de service</w:t>
      </w:r>
    </w:p>
    <w:p>
      <w:pPr>
        <w:numPr>
          <w:ilvl w:val="0"/>
          <w:numId w:val="1035"/>
        </w:numPr>
        <w:pStyle w:val="Compact"/>
      </w:pPr>
      <w:r>
        <w:t xml:space="preserve">6.2 Technologies et méthodes mobilisées</w:t>
      </w:r>
    </w:p>
    <w:p>
      <w:pPr>
        <w:numPr>
          <w:ilvl w:val="1"/>
          <w:numId w:val="1037"/>
        </w:numPr>
        <w:pStyle w:val="Compact"/>
      </w:pPr>
      <w:r>
        <w:t xml:space="preserve">6.2.1 La chaîne d’outils, mission par mission</w:t>
      </w:r>
    </w:p>
    <w:p>
      <w:pPr>
        <w:numPr>
          <w:ilvl w:val="1"/>
          <w:numId w:val="1037"/>
        </w:numPr>
        <w:pStyle w:val="Compact"/>
      </w:pPr>
      <w:r>
        <w:t xml:space="preserve">6.2.2 Les choix que je referais, et ceux que je ne referais pas</w:t>
      </w:r>
    </w:p>
    <w:p>
      <w:pPr>
        <w:numPr>
          <w:ilvl w:val="0"/>
          <w:numId w:val="1035"/>
        </w:numPr>
        <w:pStyle w:val="Compact"/>
      </w:pPr>
      <w:r>
        <w:t xml:space="preserve">6.3 Comment j’ai évalué mon propre travail</w:t>
      </w:r>
    </w:p>
    <w:p>
      <w:pPr>
        <w:numPr>
          <w:ilvl w:val="1"/>
          <w:numId w:val="1038"/>
        </w:numPr>
        <w:pStyle w:val="Compact"/>
      </w:pPr>
      <w:r>
        <w:t xml:space="preserve">6.3.1 Trois régimes de preuve selon la nature du livrable</w:t>
      </w:r>
    </w:p>
    <w:p>
      <w:pPr>
        <w:numPr>
          <w:ilvl w:val="1"/>
          <w:numId w:val="1038"/>
        </w:numPr>
        <w:pStyle w:val="Compact"/>
      </w:pPr>
      <w:r>
        <w:t xml:space="preserve">6.3.2 Ce que ces évaluations ne couvrent pas</w:t>
      </w:r>
    </w:p>
    <w:p>
      <w:pPr>
        <w:numPr>
          <w:ilvl w:val="0"/>
          <w:numId w:val="1035"/>
        </w:numPr>
        <w:pStyle w:val="Compact"/>
      </w:pPr>
      <w:r>
        <w:t xml:space="preserve">6.4 Les difficultés rencontrées</w:t>
      </w:r>
    </w:p>
    <w:p>
      <w:pPr>
        <w:numPr>
          <w:ilvl w:val="1"/>
          <w:numId w:val="1039"/>
        </w:numPr>
        <w:pStyle w:val="Compact"/>
      </w:pPr>
      <w:r>
        <w:t xml:space="preserve">6.4.1 Difficultés techniques</w:t>
      </w:r>
    </w:p>
    <w:p>
      <w:pPr>
        <w:numPr>
          <w:ilvl w:val="1"/>
          <w:numId w:val="1039"/>
        </w:numPr>
        <w:pStyle w:val="Compact"/>
      </w:pPr>
      <w:r>
        <w:t xml:space="preserve">6.4.2 Difficultés tenant à la donnée</w:t>
      </w:r>
    </w:p>
    <w:p>
      <w:pPr>
        <w:numPr>
          <w:ilvl w:val="1"/>
          <w:numId w:val="1039"/>
        </w:numPr>
        <w:pStyle w:val="Compact"/>
      </w:pPr>
      <w:r>
        <w:t xml:space="preserve">6.4.3 Difficultés organisationnelles</w:t>
      </w:r>
    </w:p>
    <w:p>
      <w:pPr>
        <w:numPr>
          <w:ilvl w:val="0"/>
          <w:numId w:val="1035"/>
        </w:numPr>
        <w:pStyle w:val="Compact"/>
      </w:pPr>
      <w:r>
        <w:t xml:space="preserve">6.5 Résultats consolidés de l’année</w:t>
      </w:r>
    </w:p>
    <w:p>
      <w:pPr>
        <w:pStyle w:val="FirstParagraph"/>
      </w:pPr>
      <w:r>
        <w:t xml:space="preserve">Les cinq chapitres précédents ont exposé les missions dans l’ordre où elles se sont</w:t>
      </w:r>
      <w:r>
        <w:t xml:space="preserve"> </w:t>
      </w:r>
      <w:r>
        <w:t xml:space="preserve">présentées. Ce chapitre les relit transversalement, sous quatre angles que le récit</w:t>
      </w:r>
      <w:r>
        <w:t xml:space="preserve"> </w:t>
      </w:r>
      <w:r>
        <w:t xml:space="preserve">chronologique ne permet pas de traiter proprement : comment ces projets ont été conduits,</w:t>
      </w:r>
      <w:r>
        <w:t xml:space="preserve"> </w:t>
      </w:r>
      <w:r>
        <w:t xml:space="preserve">avec quels outils, comment j’ai su que le résultat était bon, et ce qui n’a pas fonctionné.</w:t>
      </w:r>
      <w:r>
        <w:t xml:space="preserve"> </w:t>
      </w:r>
      <w:r>
        <w:t xml:space="preserve">Deux des enseignements que je retire de l’année ne sont visibles que dans cette comparaison.</w:t>
      </w:r>
    </w:p>
    <w:bookmarkStart w:id="154" w:name="X12e47cd3fd03a92c6b32ccdf5ccf8209502a46d"/>
    <w:p>
      <w:pPr>
        <w:pStyle w:val="Heading2"/>
      </w:pPr>
      <w:r>
        <w:t xml:space="preserve">6.1 La conduite de projet : quatre missions, deux régimes</w:t>
      </w:r>
    </w:p>
    <w:bookmarkStart w:id="151" w:name="X013d2268dd9c872d4c717e3cf8677f9fb64c00a"/>
    <w:p>
      <w:pPr>
        <w:pStyle w:val="Heading3"/>
      </w:pPr>
      <w:r>
        <w:t xml:space="preserve">6.1.1 Le régime de la reprise : itératif et piloté par les rejets</w:t>
      </w:r>
    </w:p>
    <w:p>
      <w:pPr>
        <w:pStyle w:val="FirstParagraph"/>
      </w:pPr>
      <w:r>
        <w:t xml:space="preserve">Les deux chantiers de reprise ont été conduits selon la même méthode, que je n’avais pas</w:t>
      </w:r>
      <w:r>
        <w:t xml:space="preserve"> </w:t>
      </w:r>
      <w:r>
        <w:t xml:space="preserve">choisie a priori : elle s’est imposée parce que le modèle cible était inconnu. On ne peut pas</w:t>
      </w:r>
      <w:r>
        <w:t xml:space="preserve"> </w:t>
      </w:r>
      <w:r>
        <w:t xml:space="preserve">spécifier complètement une reprise dont on ignore les règles d’acceptation. On avance donc</w:t>
      </w:r>
      <w:r>
        <w:t xml:space="preserve"> </w:t>
      </w:r>
      <w:r>
        <w:t xml:space="preserve">par paliers de volume croissant, en traitant chaque rejet comme une information sur le modèle</w:t>
      </w:r>
      <w:r>
        <w:t xml:space="preserve"> </w:t>
      </w:r>
      <w:r>
        <w:t xml:space="preserve">cible plutôt que comme une erreur à corriger — d’où la progression 3, puis 12 opérations</w:t>
      </w:r>
      <w:r>
        <w:t xml:space="preserve"> </w:t>
      </w:r>
      <w:r>
        <w:t xml:space="preserve">avant la masse au chapitre 2, et les lots de 200 lignes homogènes en nature au chapitre 3.</w:t>
      </w:r>
    </w:p>
    <w:p>
      <w:pPr>
        <w:pStyle w:val="BodyText"/>
      </w:pPr>
      <w:r>
        <w:t xml:space="preserve">Cette méthode a une propriété que j’ai appris à apprécier :</w:t>
      </w:r>
      <w:r>
        <w:t xml:space="preserve"> </w:t>
      </w:r>
      <w:r>
        <w:rPr>
          <w:bCs/>
          <w:b/>
        </w:rPr>
        <w:t xml:space="preserve">le coût d’une erreur y est</w:t>
      </w:r>
      <w:r>
        <w:rPr>
          <w:bCs/>
          <w:b/>
        </w:rPr>
        <w:t xml:space="preserve"> </w:t>
      </w:r>
      <w:r>
        <w:rPr>
          <w:bCs/>
          <w:b/>
        </w:rPr>
        <w:t xml:space="preserve">proportionnel au palier où on la découvre</w:t>
      </w:r>
      <w:r>
        <w:t xml:space="preserve">. Une règle non comprise coûte quelques minutes sur</w:t>
      </w:r>
      <w:r>
        <w:t xml:space="preserve"> </w:t>
      </w:r>
      <w:r>
        <w:t xml:space="preserve">trois opérations, une demi-journée sur douze, et une reprise complète du fichier sur la</w:t>
      </w:r>
      <w:r>
        <w:t xml:space="preserve"> </w:t>
      </w:r>
      <w:r>
        <w:t xml:space="preserve">totalité du périmètre. Elle a aussi une limite : elle est lente à démarrer et produit peu de</w:t>
      </w:r>
      <w:r>
        <w:t xml:space="preserve"> </w:t>
      </w:r>
      <w:r>
        <w:t xml:space="preserve">livrable visible pendant les premières semaines, le résultat étant alors une documentation</w:t>
      </w:r>
      <w:r>
        <w:t xml:space="preserve"> </w:t>
      </w:r>
      <w:r>
        <w:t xml:space="preserve">interne et non des données dans le système.</w:t>
      </w:r>
    </w:p>
    <w:bookmarkEnd w:id="151"/>
    <w:bookmarkStart w:id="152" w:name="X81cf0f12a97158acb4026eee948eb03816a8e13"/>
    <w:p>
      <w:pPr>
        <w:pStyle w:val="Heading3"/>
      </w:pPr>
      <w:r>
        <w:t xml:space="preserve">6.1.2 Le régime du projet analytique : cadrer, explorer, restituer</w:t>
      </w:r>
    </w:p>
    <w:p>
      <w:pPr>
        <w:pStyle w:val="FirstParagraph"/>
      </w:pPr>
      <w:r>
        <w:t xml:space="preserve">Le projet du second semestre a suivi une logique différente, en trois temps séparés. Le</w:t>
      </w:r>
      <w:r>
        <w:t xml:space="preserve"> </w:t>
      </w:r>
      <w:r>
        <w:rPr>
          <w:bCs/>
          <w:b/>
        </w:rPr>
        <w:t xml:space="preserve">cadrage</w:t>
      </w:r>
      <w:r>
        <w:t xml:space="preserve"> </w:t>
      </w:r>
      <w:r>
        <w:t xml:space="preserve">formule les questions de gestion avant de regarder les données et pose les</w:t>
      </w:r>
      <w:r>
        <w:t xml:space="preserve"> </w:t>
      </w:r>
      <w:r>
        <w:t xml:space="preserve">exigences non fonctionnelles : reproductibilité, interprétabilité, confidentialité et</w:t>
      </w:r>
      <w:r>
        <w:t xml:space="preserve"> </w:t>
      </w:r>
      <w:r>
        <w:t xml:space="preserve">acceptation d’un petit échantillon priment sur la performance brute. L’</w:t>
      </w:r>
      <w:r>
        <w:rPr>
          <w:bCs/>
          <w:b/>
        </w:rPr>
        <w:t xml:space="preserve">exploration et la</w:t>
      </w:r>
      <w:r>
        <w:rPr>
          <w:bCs/>
          <w:b/>
        </w:rPr>
        <w:t xml:space="preserve"> </w:t>
      </w:r>
      <w:r>
        <w:rPr>
          <w:bCs/>
          <w:b/>
        </w:rPr>
        <w:t xml:space="preserve">modélisation</w:t>
      </w:r>
      <w:r>
        <w:t xml:space="preserve"> </w:t>
      </w:r>
      <w:r>
        <w:t xml:space="preserve">viennent ensuite, chaque question étant traitée par la méthode la plus simple</w:t>
      </w:r>
      <w:r>
        <w:t xml:space="preserve"> </w:t>
      </w:r>
      <w:r>
        <w:t xml:space="preserve">qui y réponde. La</w:t>
      </w:r>
      <w:r>
        <w:t xml:space="preserve"> </w:t>
      </w:r>
      <w:r>
        <w:rPr>
          <w:bCs/>
          <w:b/>
        </w:rPr>
        <w:t xml:space="preserve">restitution</w:t>
      </w:r>
      <w:r>
        <w:t xml:space="preserve"> </w:t>
      </w:r>
      <w:r>
        <w:t xml:space="preserve">traduit enfin les résultats dans le langage de l’utilisateur.</w:t>
      </w:r>
    </w:p>
    <w:p>
      <w:pPr>
        <w:pStyle w:val="BodyText"/>
      </w:pPr>
      <w:r>
        <w:t xml:space="preserve">Le point d’articulation le plus délicat se situe entre les deux dernières étapes. La première</w:t>
      </w:r>
      <w:r>
        <w:t xml:space="preserve"> </w:t>
      </w:r>
      <w:r>
        <w:t xml:space="preserve">version de l’interface, trop marquée par le vocabulaire de la modélisation, a dû être</w:t>
      </w:r>
      <w:r>
        <w:t xml:space="preserve"> </w:t>
      </w:r>
      <w:r>
        <w:t xml:space="preserve">entièrement réécrite : cette réécriture a changé ce que l’écran affiche, donc ce sur quoi</w:t>
      </w:r>
      <w:r>
        <w:t xml:space="preserve"> </w:t>
      </w:r>
      <w:r>
        <w:t xml:space="preserve">l’utilisateur décide.</w:t>
      </w:r>
    </w:p>
    <w:bookmarkEnd w:id="152"/>
    <w:bookmarkStart w:id="153" w:name="X0b83e958e7f2825291c179b33199c9afbed505d"/>
    <w:p>
      <w:pPr>
        <w:pStyle w:val="Heading3"/>
      </w:pPr>
      <w:r>
        <w:t xml:space="preserve">6.1.3 Un arbitrage récurrent entre exhaustivité et continuité de service</w:t>
      </w:r>
    </w:p>
    <w:p>
      <w:pPr>
        <w:pStyle w:val="FirstParagraph"/>
      </w:pPr>
      <w:r>
        <w:t xml:space="preserve">Un même arbitrage est revenu dans les quatre missions, et c’est le premier enseignement</w:t>
      </w:r>
      <w:r>
        <w:t xml:space="preserve"> </w:t>
      </w:r>
      <w:r>
        <w:t xml:space="preserve">transversal de l’année. Il a pris la forme des « coquilles vides » sur la migration, du</w:t>
      </w:r>
      <w:r>
        <w:t xml:space="preserve"> </w:t>
      </w:r>
      <w:r>
        <w:t xml:space="preserve">traitement manuel des cas particuliers sur la reprise des tiers, du calcul dynamique sur le</w:t>
      </w:r>
      <w:r>
        <w:t xml:space="preserve"> </w:t>
      </w:r>
      <w:r>
        <w:t xml:space="preserve">reporting juridique, et du périmètre restreint à la promotion immobilière sur le projet</w:t>
      </w:r>
      <w:r>
        <w:t xml:space="preserve"> </w:t>
      </w:r>
      <w:r>
        <w:t xml:space="preserve">analytique. Dans les quatre cas, la décision a consisté à livrer quelque chose d’utile et</w:t>
      </w:r>
      <w:r>
        <w:t xml:space="preserve"> </w:t>
      </w:r>
      <w:r>
        <w:t xml:space="preserve">d’incomplet plutôt que rien de complet.</w:t>
      </w:r>
    </w:p>
    <w:p>
      <w:pPr>
        <w:pStyle w:val="BodyText"/>
      </w:pPr>
      <w:r>
        <w:t xml:space="preserve">Ce qui distingue cet arbitrage d’un renoncement, c’est uniquement le fait d’écrire ce qui a</w:t>
      </w:r>
      <w:r>
        <w:t xml:space="preserve"> </w:t>
      </w:r>
      <w:r>
        <w:t xml:space="preserve">été laissé de côté. Une dette documentée est une dette suivie ; une dette implicite devient,</w:t>
      </w:r>
      <w:r>
        <w:t xml:space="preserve"> </w:t>
      </w:r>
      <w:r>
        <w:t xml:space="preserve">quelques mois plus tard, une donnée que tout le monde croit absente.</w:t>
      </w:r>
    </w:p>
    <w:bookmarkEnd w:id="153"/>
    <w:bookmarkEnd w:id="154"/>
    <w:bookmarkStart w:id="157" w:name="technologies-et-méthodes-mobilisées"/>
    <w:p>
      <w:pPr>
        <w:pStyle w:val="Heading2"/>
      </w:pPr>
      <w:r>
        <w:t xml:space="preserve">6.2 Technologies et méthodes mobilisées</w:t>
      </w:r>
    </w:p>
    <w:bookmarkStart w:id="155" w:name="la-chaîne-doutils-mission-par-mission"/>
    <w:p>
      <w:pPr>
        <w:pStyle w:val="Heading3"/>
      </w:pPr>
      <w:r>
        <w:t xml:space="preserve">6.2.1 La chaîne d’outils, mission par 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3"/>
        <w:gridCol w:w="3208"/>
        <w:gridCol w:w="34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Méthodes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 des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et RechercheX, MyReport Builder, API REST de Salvia, module DirectAPI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Rétro-ingénierie du modèle cible par les codes d’erreur, mapping par tables de correspondance, validation itérative par paliers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Reprise des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Excel, environ 60 000 cellules de formules, CSV, API REST, JSON Patch, Postman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Déduplication par clés d’unicité différenciées, exclusion par rapprochement, numérotation séquentielle par destination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et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MyReport, SQL en lecture, annuaire d’entreprise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Modélisation dynamique par calcul de rang, accompagnement utilisateur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Copilote Financier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et pandas, SQLite en schéma en étoile, PySpark évalué, 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Régression linéaire et logistique, arbre, forêt aléatoire, séparateur à vaste marge, modèle à effets aléatoires sur panel, régression dynamique à erreurs ARIMA, ajustement logistique, recherche par similarité, optimisation sous contrainte</w:t>
            </w:r>
          </w:p>
        </w:tc>
      </w:tr>
    </w:tbl>
    <w:p>
      <w:pPr>
        <w:pStyle w:val="BodyText"/>
      </w:pPr>
      <w:r>
        <w:t xml:space="preserve">Deux remarques sur ce tableau. La première est que</w:t>
      </w:r>
      <w:r>
        <w:t xml:space="preserve"> </w:t>
      </w:r>
      <w:r>
        <w:rPr>
          <w:bCs/>
          <w:b/>
        </w:rPr>
        <w:t xml:space="preserve">la colonne des outils est beaucoup moins</w:t>
      </w:r>
      <w:r>
        <w:rPr>
          <w:bCs/>
          <w:b/>
        </w:rPr>
        <w:t xml:space="preserve"> </w:t>
      </w:r>
      <w:r>
        <w:rPr>
          <w:bCs/>
          <w:b/>
        </w:rPr>
        <w:t xml:space="preserve">intéressante que celle des méthodes</w:t>
      </w:r>
      <w:r>
        <w:t xml:space="preserve">, ce qui est contre-intuitif quand on sort d’un cursus où</w:t>
      </w:r>
      <w:r>
        <w:t xml:space="preserve"> </w:t>
      </w:r>
      <w:r>
        <w:t xml:space="preserve">l’on apprend des technologies. Excel figure dans deux missions sur quatre, non qu’il soit le</w:t>
      </w:r>
      <w:r>
        <w:t xml:space="preserve"> </w:t>
      </w:r>
      <w:r>
        <w:t xml:space="preserve">bon outil dans l’absolu, mais parce que c’est celui que l’entreprise sait relire, corriger et</w:t>
      </w:r>
      <w:r>
        <w:t xml:space="preserve"> </w:t>
      </w:r>
      <w:r>
        <w:t xml:space="preserve">maintenir sans moi. Un script Python aurait produit les mêmes fichiers plus vite, et personne</w:t>
      </w:r>
      <w:r>
        <w:t xml:space="preserve"> </w:t>
      </w:r>
      <w:r>
        <w:t xml:space="preserve">n’aurait pu le reprendre après mon départ. La seconde est que</w:t>
      </w:r>
      <w:r>
        <w:t xml:space="preserve"> </w:t>
      </w:r>
      <w:r>
        <w:rPr>
          <w:bCs/>
          <w:b/>
        </w:rPr>
        <w:t xml:space="preserve">la sophistication des méthodes</w:t>
      </w:r>
      <w:r>
        <w:rPr>
          <w:bCs/>
          <w:b/>
        </w:rPr>
        <w:t xml:space="preserve"> </w:t>
      </w:r>
      <w:r>
        <w:rPr>
          <w:bCs/>
          <w:b/>
        </w:rPr>
        <w:t xml:space="preserve">décroît quand on se rapproche de l’utilisateur</w:t>
      </w:r>
      <w:r>
        <w:t xml:space="preserve"> </w:t>
      </w:r>
      <w:r>
        <w:t xml:space="preserve">: la partie la plus consultée du Copilote</w:t>
      </w:r>
      <w:r>
        <w:t xml:space="preserve"> </w:t>
      </w:r>
      <w:r>
        <w:t xml:space="preserve">Financier repose sur du SQL descriptif. Ce n’est pas un échec de la modélisation, c’est sa</w:t>
      </w:r>
      <w:r>
        <w:t xml:space="preserve"> </w:t>
      </w:r>
      <w:r>
        <w:t xml:space="preserve">place réelle dans un outil de gestion.</w:t>
      </w:r>
    </w:p>
    <w:bookmarkEnd w:id="155"/>
    <w:bookmarkStart w:id="156" w:name="X020153c7998a08d0984669cc0320edc26a8d194"/>
    <w:p>
      <w:pPr>
        <w:pStyle w:val="Heading3"/>
      </w:pPr>
      <w:r>
        <w:t xml:space="preserve">6.2.2 Les choix que je referais, et ceux que je ne referais pas</w:t>
      </w:r>
    </w:p>
    <w:p>
      <w:pPr>
        <w:pStyle w:val="FirstParagraph"/>
      </w:pPr>
      <w:r>
        <w:t xml:space="preserve">Trois choix ont bien tenu.</w:t>
      </w:r>
      <w:r>
        <w:t xml:space="preserve"> </w:t>
      </w:r>
      <w:r>
        <w:rPr>
          <w:bCs/>
          <w:b/>
        </w:rPr>
        <w:t xml:space="preserve">Écrire les définitions partagées une seule fois</w:t>
      </w:r>
      <w:r>
        <w:t xml:space="preserve">, dans les vues</w:t>
      </w:r>
      <w:r>
        <w:t xml:space="preserve"> </w:t>
      </w:r>
      <w:r>
        <w:t xml:space="preserve">de la base analytique, répond directement au problème rencontré sur le reporting juridique et</w:t>
      </w:r>
      <w:r>
        <w:t xml:space="preserve"> </w:t>
      </w:r>
      <w:r>
        <w:t xml:space="preserve">garantit que les notebooks et l’application disent la même chose.</w:t>
      </w:r>
      <w:r>
        <w:t xml:space="preserve"> </w:t>
      </w:r>
      <w:r>
        <w:rPr>
          <w:bCs/>
          <w:b/>
        </w:rPr>
        <w:t xml:space="preserve">Documenter</w:t>
      </w:r>
      <w:r>
        <w:rPr>
          <w:bCs/>
          <w:b/>
        </w:rPr>
        <w:t xml:space="preserve"> </w:t>
      </w:r>
      <w:r>
        <w:rPr>
          <w:bCs/>
          <w:b/>
        </w:rPr>
        <w:t xml:space="preserve">systématiquement les arbitrages</w:t>
      </w:r>
      <w:r>
        <w:t xml:space="preserve">, par la note sur la séquence d’injection puis par la</w:t>
      </w:r>
      <w:r>
        <w:t xml:space="preserve"> </w:t>
      </w:r>
      <w:r>
        <w:t xml:space="preserve">procédure d’import des tiers, est ce qui rend le travail vérifiable par quelqu’un d’autre.</w:t>
      </w:r>
      <w:r>
        <w:t xml:space="preserve"> </w:t>
      </w:r>
      <w:r>
        <w:rPr>
          <w:bCs/>
          <w:b/>
        </w:rPr>
        <w:t xml:space="preserve">Refuser d’ajouter une technologie sans nécessité</w:t>
      </w:r>
      <w:r>
        <w:t xml:space="preserve">, enfin : conclure par la négative sur la</w:t>
      </w:r>
      <w:r>
        <w:t xml:space="preserve"> </w:t>
      </w:r>
      <w:r>
        <w:t xml:space="preserve">montée en charge et le dire est un résultat.</w:t>
      </w:r>
    </w:p>
    <w:p>
      <w:pPr>
        <w:pStyle w:val="BodyText"/>
      </w:pPr>
      <w:r>
        <w:t xml:space="preserve">Un choix, en revanche, je ne le referais pas de la même façon. J’ai construit la première</w:t>
      </w:r>
      <w:r>
        <w:t xml:space="preserve"> </w:t>
      </w:r>
      <w:r>
        <w:t xml:space="preserve">version de l’interface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de la confronter aux utilisateurs, en supposant que des</w:t>
      </w:r>
      <w:r>
        <w:t xml:space="preserve"> </w:t>
      </w:r>
      <w:r>
        <w:t xml:space="preserve">indicateurs correctement calculés seraient lisibles. Ils ne l’étaient pas. Aujourd’hui, je</w:t>
      </w:r>
      <w:r>
        <w:t xml:space="preserve"> </w:t>
      </w:r>
      <w:r>
        <w:t xml:space="preserve">montrerais une maquette de l’écran avant d’écrire le premier modèle, parce que c’est l’écran</w:t>
      </w:r>
      <w:r>
        <w:t xml:space="preserve"> </w:t>
      </w:r>
      <w:r>
        <w:t xml:space="preserve">qui détermine quelles grandeurs doivent être calculées, et non l’inverse.</w:t>
      </w:r>
    </w:p>
    <w:bookmarkEnd w:id="156"/>
    <w:bookmarkEnd w:id="157"/>
    <w:bookmarkStart w:id="163" w:name="comment-jai-évalué-mon-propre-travail"/>
    <w:p>
      <w:pPr>
        <w:pStyle w:val="Heading2"/>
      </w:pPr>
      <w:r>
        <w:t xml:space="preserve">6.3 Comment j’ai évalué mon propre travail</w:t>
      </w:r>
    </w:p>
    <w:bookmarkStart w:id="161" w:name="Xb037caec2e8b107738afb2a8fcc76b9be446a86"/>
    <w:p>
      <w:pPr>
        <w:pStyle w:val="Heading3"/>
      </w:pPr>
      <w:r>
        <w:t xml:space="preserve">6.3.1 Trois régimes de preuve selon la nature du livrable</w:t>
      </w:r>
    </w:p>
    <w:p>
      <w:pPr>
        <w:pStyle w:val="FirstParagraph"/>
      </w:pPr>
      <w:r>
        <w:t xml:space="preserve">L’évaluation d’un livrable dépend entièrement de sa nature, et c’est le second enseignement</w:t>
      </w:r>
      <w:r>
        <w:t xml:space="preserve"> </w:t>
      </w:r>
      <w:r>
        <w:t xml:space="preserve">transversal de l’année. Une reprise de données, un tableau de bord et un modèle statistique</w:t>
      </w:r>
      <w:r>
        <w:t xml:space="preserve"> </w:t>
      </w:r>
      <w:r>
        <w:t xml:space="preserve">ne se prouvent pas de la même manière. La Figure 6.1 représente les trois régimes que j’ai</w:t>
      </w:r>
      <w:r>
        <w:t xml:space="preserve"> </w:t>
      </w:r>
      <w:r>
        <w:t xml:space="preserve">employés.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es trois régimes de preuve employés selon la nature du livrable" title="" id="159" name="Picture"/>
            <a:graphic>
              <a:graphicData uri="http://schemas.openxmlformats.org/drawingml/2006/picture">
                <pic:pic>
                  <pic:nvPicPr>
                    <pic:cNvPr descr="figures/fig_6_1_regimes_de_preuv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6.1 – Les trois régimes de preuve employés selon la nature du livrable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Cs/>
          <w:b/>
        </w:rPr>
        <w:t xml:space="preserve">réconciliation</w:t>
      </w:r>
      <w:r>
        <w:t xml:space="preserve"> </w:t>
      </w:r>
      <w:r>
        <w:t xml:space="preserve">s’applique aux reprises, où la question est : ce qui est arrivé</w:t>
      </w:r>
      <w:r>
        <w:t xml:space="preserve"> </w:t>
      </w:r>
      <w:r>
        <w:t xml:space="preserve">correspond-il à ce qui est parti ? Elle a pris la forme de la validation par paliers sur la</w:t>
      </w:r>
      <w:r>
        <w:t xml:space="preserve"> </w:t>
      </w:r>
      <w:r>
        <w:t xml:space="preserve">migration, d’un panneau de compteurs à vérifier avant tout export sur la reprise des tiers,</w:t>
      </w:r>
      <w:r>
        <w:t xml:space="preserve"> </w:t>
      </w:r>
      <w:r>
        <w:t xml:space="preserve">et sur le projet analytique du recoupement de deux exports budgétaires — totaux identiques à</w:t>
      </w:r>
      <w:r>
        <w:t xml:space="preserve"> </w:t>
      </w:r>
      <w:r>
        <w:t xml:space="preserve">l’euro près sur les 118 opérations jointes, et mêmes 1 561,8 M€ de dépenses budgétées</w:t>
      </w:r>
      <w:r>
        <w:t xml:space="preserve"> </w:t>
      </w:r>
      <w:r>
        <w:t xml:space="preserve">retrouvés par deux moteurs indépendants.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Cs/>
          <w:b/>
        </w:rPr>
        <w:t xml:space="preserve">validation statistique</w:t>
      </w:r>
      <w:r>
        <w:t xml:space="preserve"> </w:t>
      </w:r>
      <w:r>
        <w:t xml:space="preserve">s’applique aux modèles, où la question est : le résultat tient-il</w:t>
      </w:r>
      <w:r>
        <w:t xml:space="preserve"> </w:t>
      </w:r>
      <w:r>
        <w:t xml:space="preserve">hors de l’échantillon sur lequel il a été construit ? J’y ai systématiquement associé un</w:t>
      </w:r>
      <w:r>
        <w:t xml:space="preserve"> </w:t>
      </w:r>
      <w:r>
        <w:t xml:space="preserve">échantillon test distinct, une comparaison à une référence naïve et un contrôle des fuites</w:t>
      </w:r>
      <w:r>
        <w:t xml:space="preserve"> </w:t>
      </w:r>
      <w:r>
        <w:t xml:space="preserve">entre variables explicatives et cible. La comparaison à la référence est celle qui m’a le</w:t>
      </w:r>
      <w:r>
        <w:t xml:space="preserve"> </w:t>
      </w:r>
      <w:r>
        <w:t xml:space="preserve">plus servi : un score F1 de 0,3 ne veut rien dire dans l’absolu, mais il prend un sens précis</w:t>
      </w:r>
      <w:r>
        <w:t xml:space="preserve"> </w:t>
      </w:r>
      <w:r>
        <w:t xml:space="preserve">lorsque la référence majoritaire, elle, ne détecte rien.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Cs/>
          <w:b/>
        </w:rPr>
        <w:t xml:space="preserve">recette par l’usage</w:t>
      </w:r>
      <w:r>
        <w:t xml:space="preserve"> </w:t>
      </w:r>
      <w:r>
        <w:t xml:space="preserve">s’applique aux livrables destinés à un utilisateur, où la question</w:t>
      </w:r>
      <w:r>
        <w:t xml:space="preserve"> </w:t>
      </w:r>
      <w:r>
        <w:t xml:space="preserve">est : la personne s’en sert-elle, et pour la bonne chose ? Le reporting juridique a été validé</w:t>
      </w:r>
      <w:r>
        <w:t xml:space="preserve"> </w:t>
      </w:r>
      <w:r>
        <w:t xml:space="preserve">par le service demandeur, seul juge de la conformité de la règle. L’application a été</w:t>
      </w:r>
      <w:r>
        <w:t xml:space="preserve"> </w:t>
      </w:r>
      <w:r>
        <w:t xml:space="preserve">vérifiée page à page par un cadre de test automatisé, y compris aux bornes des curseurs et</w:t>
      </w:r>
      <w:r>
        <w:t xml:space="preserve"> </w:t>
      </w:r>
      <w:r>
        <w:t xml:space="preserve">sur les sélections vides, mais c’est le retour de l’entreprise sur le vocabulaire des écrans</w:t>
      </w:r>
      <w:r>
        <w:t xml:space="preserve"> </w:t>
      </w:r>
      <w:r>
        <w:t xml:space="preserve">qui a constitué la véritable recette.</w:t>
      </w:r>
    </w:p>
    <w:bookmarkEnd w:id="161"/>
    <w:bookmarkStart w:id="162" w:name="ce-que-ces-évaluations-ne-couvrent-pas"/>
    <w:p>
      <w:pPr>
        <w:pStyle w:val="Heading3"/>
      </w:pPr>
      <w:r>
        <w:t xml:space="preserve">6.3.2 Ce que ces évaluations ne couvrent pas</w:t>
      </w:r>
    </w:p>
    <w:p>
      <w:pPr>
        <w:pStyle w:val="FirstParagraph"/>
      </w:pPr>
      <w:r>
        <w:t xml:space="preserve">Ce dispositif a des angles morts, et je préfère les exposer. La réconciliation prouve qu’une</w:t>
      </w:r>
      <w:r>
        <w:t xml:space="preserve"> </w:t>
      </w:r>
      <w:r>
        <w:t xml:space="preserve">donnée est arrivée, pas qu’elle est juste : si une clé d’unicité était mal choisie, l’erreur</w:t>
      </w:r>
      <w:r>
        <w:t xml:space="preserve"> </w:t>
      </w:r>
      <w:r>
        <w:t xml:space="preserve">passerait le contrôle sans être vue, puisque les compteurs tomberaient juste. La validation</w:t>
      </w:r>
      <w:r>
        <w:t xml:space="preserve"> </w:t>
      </w:r>
      <w:r>
        <w:t xml:space="preserve">statistique mesure une performance sur des données passées, dans une conjoncture donnée ;</w:t>
      </w:r>
      <w:r>
        <w:t xml:space="preserve"> </w:t>
      </w:r>
      <w:r>
        <w:t xml:space="preserve">rien ne garantit qu’un modèle calibré sur la période récente tienne si le marché change de</w:t>
      </w:r>
      <w:r>
        <w:t xml:space="preserve"> </w:t>
      </w:r>
      <w:r>
        <w:t xml:space="preserve">régime. La recette par l’usage, enfin, ne dit rien à court terme de l’utilité réelle d’un</w:t>
      </w:r>
      <w:r>
        <w:t xml:space="preserve"> </w:t>
      </w:r>
      <w:r>
        <w:t xml:space="preserve">outil : une page consultée n’est pas une décision prise, et il faudra plusieurs mois pour</w:t>
      </w:r>
      <w:r>
        <w:t xml:space="preserve"> </w:t>
      </w:r>
      <w:r>
        <w:t xml:space="preserve">savoir si le Copilote Financier a changé quelque chose aux revues de gestion.</w:t>
      </w:r>
    </w:p>
    <w:bookmarkEnd w:id="162"/>
    <w:bookmarkEnd w:id="163"/>
    <w:bookmarkStart w:id="167" w:name="les-difficultés-rencontrées"/>
    <w:p>
      <w:pPr>
        <w:pStyle w:val="Heading2"/>
      </w:pPr>
      <w:r>
        <w:t xml:space="preserve">6.4 Les difficultés rencontrées</w:t>
      </w:r>
    </w:p>
    <w:bookmarkStart w:id="164" w:name="difficultés-techniques"/>
    <w:p>
      <w:pPr>
        <w:pStyle w:val="Heading3"/>
      </w:pPr>
      <w:r>
        <w:t xml:space="preserve">6.4.1 Difficultés techniques</w:t>
      </w:r>
    </w:p>
    <w:p>
      <w:pPr>
        <w:pStyle w:val="FirstParagraph"/>
      </w:pPr>
      <w:r>
        <w:t xml:space="preserve">Les difficultés techniques de l’année se ramènent presque toutes à une même situation : un</w:t>
      </w:r>
      <w:r>
        <w:t xml:space="preserve"> </w:t>
      </w:r>
      <w:r>
        <w:t xml:space="preserve">système imposait une règle qui n’était écrite nulle part. L’ordre d’injection des objets dans</w:t>
      </w:r>
      <w:r>
        <w:t xml:space="preserve"> </w:t>
      </w:r>
      <w:r>
        <w:t xml:space="preserve">l’ERP en est le cas le plus net, reconstitué par l’analyse des codes d’erreur ; le</w:t>
      </w:r>
      <w:r>
        <w:t xml:space="preserve"> </w:t>
      </w:r>
      <w:r>
        <w:t xml:space="preserve">versionnement des budgets en est le second, qui a imposé une logique de requêtage dynamique</w:t>
      </w:r>
      <w:r>
        <w:t xml:space="preserve"> </w:t>
      </w:r>
      <w:r>
        <w:t xml:space="preserve">pour cibler le bon enregistrement. Le refus des caractères accentués par le format d’import</w:t>
      </w:r>
      <w:r>
        <w:t xml:space="preserve"> </w:t>
      </w:r>
      <w:r>
        <w:t xml:space="preserve">et l’impossibilité de porter les coordonnées des couples en CSV relèvent de la même famille,</w:t>
      </w:r>
      <w:r>
        <w:t xml:space="preserve"> </w:t>
      </w:r>
      <w:r>
        <w:t xml:space="preserve">la solution ayant consisté dans le second cas à changer de porte d’entrée vers le système.</w:t>
      </w:r>
    </w:p>
    <w:p>
      <w:pPr>
        <w:pStyle w:val="BodyText"/>
      </w:pPr>
      <w:r>
        <w:t xml:space="preserve">Les pièges du tableur, enfin, ont coûté un temps de recherche disproportionné à leur</w:t>
      </w:r>
      <w:r>
        <w:t xml:space="preserve"> </w:t>
      </w:r>
      <w:r>
        <w:t xml:space="preserve">apparente banalité. Ils partagent un trait qui en fait un vrai enseignement de méthode :</w:t>
      </w:r>
      <w:r>
        <w:t xml:space="preserve"> </w:t>
      </w:r>
      <w:r>
        <w:rPr>
          <w:bCs/>
          <w:b/>
        </w:rPr>
        <w:t xml:space="preserve">aucun ne produit de message d’erreur</w:t>
      </w:r>
      <w:r>
        <w:t xml:space="preserve">. Ils se manifestent par un compteur qui ne tombe pas</w:t>
      </w:r>
      <w:r>
        <w:t xml:space="preserve"> </w:t>
      </w:r>
      <w:r>
        <w:t xml:space="preserve">juste, et c’est la seule raison pour laquelle je les ai vus.</w:t>
      </w:r>
    </w:p>
    <w:bookmarkEnd w:id="164"/>
    <w:bookmarkStart w:id="165" w:name="difficultés-tenant-à-la-donnée"/>
    <w:p>
      <w:pPr>
        <w:pStyle w:val="Heading3"/>
      </w:pPr>
      <w:r>
        <w:t xml:space="preserve">6.4.2 Difficultés tenant à la donnée</w:t>
      </w:r>
    </w:p>
    <w:p>
      <w:pPr>
        <w:pStyle w:val="FirstParagraph"/>
      </w:pPr>
      <w:r>
        <w:t xml:space="preserve">Trois difficultés relèvent de la donnée elle-même. L’</w:t>
      </w:r>
      <w:r>
        <w:rPr>
          <w:bCs/>
          <w:b/>
        </w:rPr>
        <w:t xml:space="preserve">absence d’historique</w:t>
      </w:r>
      <w:r>
        <w:t xml:space="preserve"> </w:t>
      </w:r>
      <w:r>
        <w:t xml:space="preserve">d’abord : les</w:t>
      </w:r>
      <w:r>
        <w:t xml:space="preserve"> </w:t>
      </w:r>
      <w:r>
        <w:t xml:space="preserve">exports budgétaires sont une photographie à date, sans trace des révisions successives, et</w:t>
      </w:r>
      <w:r>
        <w:t xml:space="preserve"> </w:t>
      </w:r>
      <w:r>
        <w:t xml:space="preserve">cette limite plafonne l’axe le plus attendu du projet analytique. Aucune méthode ne la</w:t>
      </w:r>
      <w:r>
        <w:t xml:space="preserve"> </w:t>
      </w:r>
      <w:r>
        <w:t xml:space="preserve">contourne, car on n’apprend pas la dynamique d’une dérive sur une image fixe. La</w:t>
      </w:r>
      <w:r>
        <w:t xml:space="preserve"> </w:t>
      </w:r>
      <w:r>
        <w:rPr>
          <w:bCs/>
          <w:b/>
        </w:rPr>
        <w:t xml:space="preserve">qualité de</w:t>
      </w:r>
      <w:r>
        <w:rPr>
          <w:bCs/>
          <w:b/>
        </w:rPr>
        <w:t xml:space="preserve"> </w:t>
      </w:r>
      <w:r>
        <w:rPr>
          <w:bCs/>
          <w:b/>
        </w:rPr>
        <w:t xml:space="preserve">saisie</w:t>
      </w:r>
      <w:r>
        <w:t xml:space="preserve"> </w:t>
      </w:r>
      <w:r>
        <w:t xml:space="preserve">ensuite, dont le cas le plus parlant est celui d’une agence dont 90 % des motifs de</w:t>
      </w:r>
      <w:r>
        <w:t xml:space="preserve"> </w:t>
      </w:r>
      <w:r>
        <w:t xml:space="preserve">désistement sont enregistrés en « Autres motifs » : ce constat inattendu a produit une</w:t>
      </w:r>
      <w:r>
        <w:t xml:space="preserve"> </w:t>
      </w:r>
      <w:r>
        <w:t xml:space="preserve">recommandation opérationnelle immédiate. L’</w:t>
      </w:r>
      <w:r>
        <w:rPr>
          <w:bCs/>
          <w:b/>
        </w:rPr>
        <w:t xml:space="preserve">impossibilité d’estimer certains paramètres en</w:t>
      </w:r>
      <w:r>
        <w:rPr>
          <w:bCs/>
          <w:b/>
        </w:rPr>
        <w:t xml:space="preserve"> </w:t>
      </w:r>
      <w:r>
        <w:rPr>
          <w:bCs/>
          <w:b/>
        </w:rPr>
        <w:t xml:space="preserve">interne</w:t>
      </w:r>
      <w:r>
        <w:t xml:space="preserve"> </w:t>
      </w:r>
      <w:r>
        <w:t xml:space="preserve">enfin : l’élasticité de la demande au prix a le bon signe dans nos données mais n’y</w:t>
      </w:r>
      <w:r>
        <w:t xml:space="preserve"> </w:t>
      </w:r>
      <w:r>
        <w:t xml:space="preserve">est pas significative, et la valeur retenue vient de la littérature.</w:t>
      </w:r>
    </w:p>
    <w:bookmarkEnd w:id="165"/>
    <w:bookmarkStart w:id="166" w:name="difficultés-organisationnelles"/>
    <w:p>
      <w:pPr>
        <w:pStyle w:val="Heading3"/>
      </w:pPr>
      <w:r>
        <w:t xml:space="preserve">6.4.3 Difficultés organisationnelles</w:t>
      </w:r>
    </w:p>
    <w:p>
      <w:pPr>
        <w:pStyle w:val="FirstParagraph"/>
      </w:pPr>
      <w:r>
        <w:t xml:space="preserve">La difficulté la plus constante de l’année n’a été ni technique ni statistique : c’est la</w:t>
      </w:r>
      <w:r>
        <w:t xml:space="preserve"> </w:t>
      </w:r>
      <w:r>
        <w:rPr>
          <w:bCs/>
          <w:b/>
        </w:rPr>
        <w:t xml:space="preserve">fragmentation du temps</w:t>
      </w:r>
      <w:r>
        <w:t xml:space="preserve">. Un fichier d’injection interrompu trois fois dans la journée pour</w:t>
      </w:r>
      <w:r>
        <w:t xml:space="preserve"> </w:t>
      </w:r>
      <w:r>
        <w:t xml:space="preserve">une demande de tableau de bord avance moins vite qu’un fichier mené d’un trait, et surtout il</w:t>
      </w:r>
      <w:r>
        <w:t xml:space="preserve"> </w:t>
      </w:r>
      <w:r>
        <w:t xml:space="preserve">se reprend plus mal, puisqu’il faut à chaque fois reconstituer où l’on en était dans une</w:t>
      </w:r>
      <w:r>
        <w:t xml:space="preserve"> </w:t>
      </w:r>
      <w:r>
        <w:t xml:space="preserve">logique de formules imbriquées. Ce que j’ai fini par mettre en place tient en peu de choses :</w:t>
      </w:r>
      <w:r>
        <w:t xml:space="preserve"> </w:t>
      </w:r>
      <w:r>
        <w:t xml:space="preserve">réserver les plages longues aux travaux qui ne se découpent pas, regrouper les demandes</w:t>
      </w:r>
      <w:r>
        <w:t xml:space="preserve"> </w:t>
      </w:r>
      <w:r>
        <w:t xml:space="preserve">courtes, et surtout écrire systématiquement où j’en étais avant d’interrompre une tâche.</w:t>
      </w:r>
      <w:r>
        <w:t xml:space="preserve"> </w:t>
      </w:r>
      <w:r>
        <w:t xml:space="preserve">Cette dernière habitude est celle qui m’a le plus fait gagner de temps.</w:t>
      </w:r>
    </w:p>
    <w:p>
      <w:pPr>
        <w:pStyle w:val="BodyText"/>
      </w:pPr>
      <w:r>
        <w:t xml:space="preserve">Une seconde difficulté a modifié le projet lui-même : le</w:t>
      </w:r>
      <w:r>
        <w:t xml:space="preserve"> </w:t>
      </w:r>
      <w:r>
        <w:rPr>
          <w:bCs/>
          <w:b/>
        </w:rPr>
        <w:t xml:space="preserve">décalage entre le calendrier</w:t>
      </w:r>
      <w:r>
        <w:rPr>
          <w:bCs/>
          <w:b/>
        </w:rPr>
        <w:t xml:space="preserve"> </w:t>
      </w:r>
      <w:r>
        <w:rPr>
          <w:bCs/>
          <w:b/>
        </w:rPr>
        <w:t xml:space="preserve">universitaire et celui de l’entreprise</w:t>
      </w:r>
      <w:r>
        <w:t xml:space="preserve">. Le projet de Machine Learning prévu au premier</w:t>
      </w:r>
      <w:r>
        <w:t xml:space="preserve"> </w:t>
      </w:r>
      <w:r>
        <w:t xml:space="preserve">semestre n’a pas pu être mené, la migration ayant mobilisé l’essentiel de mon temps. Ce</w:t>
      </w:r>
      <w:r>
        <w:t xml:space="preserve"> </w:t>
      </w:r>
      <w:r>
        <w:t xml:space="preserve">report, frustrant sur le moment, s’est révélé logique avec le recul, et il constitue le fil</w:t>
      </w:r>
      <w:r>
        <w:t xml:space="preserve"> </w:t>
      </w:r>
      <w:r>
        <w:t xml:space="preserve">de ce mémoire.</w:t>
      </w:r>
    </w:p>
    <w:bookmarkEnd w:id="166"/>
    <w:bookmarkEnd w:id="167"/>
    <w:bookmarkStart w:id="168" w:name="résultats-consolidés-de-lannée"/>
    <w:p>
      <w:pPr>
        <w:pStyle w:val="Heading2"/>
      </w:pPr>
      <w:r>
        <w:t xml:space="preserve">6.5 Résultats consolidés de l’année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12"/>
        <w:gridCol w:w="290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Livrable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ou périmètre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Opérations créées dans SPO, hors budgets détaillés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 créés dans SPO, avec leurs objets rattachés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1 434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Adresses, courriels et téléphones importés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553, 469 et 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1 871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ajoutées par requête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872 requêtes, toutes passées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 interne produite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Séquence d’injection, procédure d’import des tiers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Reportings maintenus et faits évoluer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 l’ensemble des services demandeurs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Postes équipés du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Agence de Perpignan et service financier du siège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données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Trois dimensions, quatre tables de faits, trois vues métier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d’aide à la décision livrée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Cinq pages, 147 opérations de promotion suivies</w:t>
            </w:r>
          </w:p>
        </w:tc>
      </w:tr>
    </w:tbl>
    <w:p>
      <w:pPr>
        <w:pStyle w:val="BodyText"/>
      </w:pPr>
      <w:r>
        <w:t xml:space="preserve">Ces chiffres ne disent pourtant pas l’essentiel. Ce que l’année a produit de plus durable</w:t>
      </w:r>
      <w:r>
        <w:t xml:space="preserve"> </w:t>
      </w:r>
      <w:r>
        <w:t xml:space="preserve">n’est aucun de ces volumes : ce sont trois définitions écrites quelque part. La séquence</w:t>
      </w:r>
      <w:r>
        <w:t xml:space="preserve"> </w:t>
      </w:r>
      <w:r>
        <w:t xml:space="preserve">d’injection valide pour l’ERP, la clé qui décide qu’un client est le même client, et la</w:t>
      </w:r>
      <w:r>
        <w:t xml:space="preserve"> </w:t>
      </w:r>
      <w:r>
        <w:t xml:space="preserve">formule qui dit ce qu’est la marge d’une opération. Les données se réinjectent ; ces trois</w:t>
      </w:r>
      <w:r>
        <w:t xml:space="preserve"> </w:t>
      </w:r>
      <w:r>
        <w:t xml:space="preserve">décisions-là, il faut les reprendre depuis le début si elles se perdent.</w:t>
      </w:r>
    </w:p>
    <w:p>
      <w:pPr>
        <w:pStyle w:val="BodyText"/>
      </w:pPr>
      <w:r>
        <w:t xml:space="preserve">Deux enseignements ressortent de cette relecture, qu’aucune mission prise isolément ne</w:t>
      </w:r>
      <w:r>
        <w:t xml:space="preserve"> </w:t>
      </w:r>
      <w:r>
        <w:t xml:space="preserve">donnait : l’arbitrage entre exhaustivité et continuité de service n’est acceptable qu’à la</w:t>
      </w:r>
      <w:r>
        <w:t xml:space="preserve"> </w:t>
      </w:r>
      <w:r>
        <w:t xml:space="preserve">condition d’écrire ce qu’on laisse de côté, et la nature du livrable commande le régime de</w:t>
      </w:r>
      <w:r>
        <w:t xml:space="preserve"> </w:t>
      </w:r>
      <w:r>
        <w:t xml:space="preserve">preuve. Ce sont des enseignements de méthode. Le chapitre suivant porte sur le métier</w:t>
      </w:r>
      <w:r>
        <w:t xml:space="preserve"> </w:t>
      </w:r>
      <w:r>
        <w:t xml:space="preserve">lui-même, et sur ce que je compte en faire.</w:t>
      </w:r>
    </w:p>
    <w:bookmarkEnd w:id="168"/>
    <w:bookmarkEnd w:id="169"/>
    <w:bookmarkStart w:id="184" w:name="X2a30457a2198163bc1d8952660d25dfbecf5740"/>
    <w:p>
      <w:pPr>
        <w:pStyle w:val="Heading1"/>
      </w:pPr>
      <w:r>
        <w:t xml:space="preserve">7 Réflexion sur le métier, perspectives et projet professionnel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40"/>
        </w:numPr>
        <w:pStyle w:val="Compact"/>
      </w:pPr>
      <w:r>
        <w:t xml:space="preserve">7.1 Le métier de data scientist vu depuis une entreprise sans équipe data</w:t>
      </w:r>
    </w:p>
    <w:p>
      <w:pPr>
        <w:numPr>
          <w:ilvl w:val="1"/>
          <w:numId w:val="1041"/>
        </w:numPr>
        <w:pStyle w:val="Compact"/>
      </w:pPr>
      <w:r>
        <w:t xml:space="preserve">7.1.1 Un traducteur avant d’être un modélisateur</w:t>
      </w:r>
    </w:p>
    <w:p>
      <w:pPr>
        <w:numPr>
          <w:ilvl w:val="1"/>
          <w:numId w:val="1041"/>
        </w:numPr>
        <w:pStyle w:val="Compact"/>
      </w:pPr>
      <w:r>
        <w:t xml:space="preserve">7.1.2 La place réelle de la modélisation</w:t>
      </w:r>
    </w:p>
    <w:p>
      <w:pPr>
        <w:numPr>
          <w:ilvl w:val="1"/>
          <w:numId w:val="1041"/>
        </w:numPr>
        <w:pStyle w:val="Compact"/>
      </w:pPr>
      <w:r>
        <w:t xml:space="preserve">7.1.3 L’honnêteté sur ce qu’un résultat ne dit pas</w:t>
      </w:r>
    </w:p>
    <w:p>
      <w:pPr>
        <w:numPr>
          <w:ilvl w:val="0"/>
          <w:numId w:val="1040"/>
        </w:numPr>
        <w:pStyle w:val="Compact"/>
      </w:pPr>
      <w:r>
        <w:t xml:space="preserve">7.2 Ce que j’ai appris de la pratique professionnelle</w:t>
      </w:r>
    </w:p>
    <w:p>
      <w:pPr>
        <w:numPr>
          <w:ilvl w:val="1"/>
          <w:numId w:val="1042"/>
        </w:numPr>
        <w:pStyle w:val="Compact"/>
      </w:pPr>
      <w:r>
        <w:t xml:space="preserve">7.2.1 Documenter est un acte technique</w:t>
      </w:r>
    </w:p>
    <w:p>
      <w:pPr>
        <w:numPr>
          <w:ilvl w:val="1"/>
          <w:numId w:val="1042"/>
        </w:numPr>
        <w:pStyle w:val="Compact"/>
      </w:pPr>
      <w:r>
        <w:t xml:space="preserve">7.2.2 Livrer, c’est faire adopter</w:t>
      </w:r>
    </w:p>
    <w:p>
      <w:pPr>
        <w:numPr>
          <w:ilvl w:val="0"/>
          <w:numId w:val="1040"/>
        </w:numPr>
        <w:pStyle w:val="Compact"/>
      </w:pPr>
      <w:r>
        <w:t xml:space="preserve">7.3 Perspectives des projets engagés</w:t>
      </w:r>
    </w:p>
    <w:p>
      <w:pPr>
        <w:numPr>
          <w:ilvl w:val="1"/>
          <w:numId w:val="1043"/>
        </w:numPr>
        <w:pStyle w:val="Compact"/>
      </w:pPr>
      <w:r>
        <w:t xml:space="preserve">7.3.1 Achever la reprise et historiser les données</w:t>
      </w:r>
    </w:p>
    <w:p>
      <w:pPr>
        <w:numPr>
          <w:ilvl w:val="1"/>
          <w:numId w:val="1043"/>
        </w:numPr>
        <w:pStyle w:val="Compact"/>
      </w:pPr>
      <w:r>
        <w:t xml:space="preserve">7.3.2 Faire vivre le Copilote Financier</w:t>
      </w:r>
    </w:p>
    <w:p>
      <w:pPr>
        <w:numPr>
          <w:ilvl w:val="1"/>
          <w:numId w:val="1043"/>
        </w:numPr>
        <w:pStyle w:val="Compact"/>
      </w:pPr>
      <w:r>
        <w:t xml:space="preserve">7.3.3 L’intégration à l’infrastructure Nexity</w:t>
      </w:r>
    </w:p>
    <w:p>
      <w:pPr>
        <w:numPr>
          <w:ilvl w:val="0"/>
          <w:numId w:val="1040"/>
        </w:numPr>
        <w:pStyle w:val="Compact"/>
      </w:pPr>
      <w:r>
        <w:t xml:space="preserve">7.4 Mon projet professionnel</w:t>
      </w:r>
    </w:p>
    <w:p>
      <w:pPr>
        <w:numPr>
          <w:ilvl w:val="1"/>
          <w:numId w:val="1044"/>
        </w:numPr>
        <w:pStyle w:val="Compact"/>
      </w:pPr>
      <w:r>
        <w:t xml:space="preserve">7.4.1 Le positionnement que je vise</w:t>
      </w:r>
    </w:p>
    <w:p>
      <w:pPr>
        <w:numPr>
          <w:ilvl w:val="1"/>
          <w:numId w:val="1044"/>
        </w:numPr>
        <w:pStyle w:val="Compact"/>
      </w:pPr>
      <w:r>
        <w:t xml:space="preserve">7.4.2 Les compétences qu’il me reste à consolider</w:t>
      </w:r>
    </w:p>
    <w:p>
      <w:pPr>
        <w:pStyle w:val="FirstParagraph"/>
      </w:pPr>
      <w:r>
        <w:t xml:space="preserve">Ce dernier chapitre quitte le récit des missions pour livrer la réflexion qu’elles ont</w:t>
      </w:r>
      <w:r>
        <w:t xml:space="preserve"> </w:t>
      </w:r>
      <w:r>
        <w:t xml:space="preserve">produite : sur le métier de data scientist tel que je l’ai exercé, dans une entreprise sans</w:t>
      </w:r>
      <w:r>
        <w:t xml:space="preserve"> </w:t>
      </w:r>
      <w:r>
        <w:t xml:space="preserve">équipe data ; sur les perspectives des chantiers engagés, dont aucun n’est achevé ; et sur le</w:t>
      </w:r>
      <w:r>
        <w:t xml:space="preserve"> </w:t>
      </w:r>
      <w:r>
        <w:t xml:space="preserve">projet professionnel qui en découle.</w:t>
      </w:r>
    </w:p>
    <w:bookmarkStart w:id="173" w:name="X7bf1162f46c98059efb9aedacb9ee211a299253"/>
    <w:p>
      <w:pPr>
        <w:pStyle w:val="Heading2"/>
      </w:pPr>
      <w:r>
        <w:t xml:space="preserve">7.1 Le métier de data scientist vu depuis une entreprise sans équipe data</w:t>
      </w:r>
    </w:p>
    <w:bookmarkStart w:id="170" w:name="Xe3ccf695498d44d5910cddd3066151ddfc1f433"/>
    <w:p>
      <w:pPr>
        <w:pStyle w:val="Heading3"/>
      </w:pPr>
      <w:r>
        <w:t xml:space="preserve">7.1.1 Un traducteur avant d’être un modélisateur</w:t>
      </w:r>
    </w:p>
    <w:p>
      <w:pPr>
        <w:pStyle w:val="FirstParagraph"/>
      </w:pPr>
      <w:r>
        <w:t xml:space="preserve">L’image que j’avais de ce métier en entrant en Master 2 était celle que donne le cursus : on</w:t>
      </w:r>
      <w:r>
        <w:t xml:space="preserve"> </w:t>
      </w:r>
      <w:r>
        <w:t xml:space="preserve">reçoit un jeu de données et une question, on choisit une méthode, on évalue, on livre un</w:t>
      </w:r>
      <w:r>
        <w:t xml:space="preserve"> </w:t>
      </w:r>
      <w:r>
        <w:t xml:space="preserve">modèle. Cette image n’est pas fausse, elle est simplement très minoritaire dans le temps réel.</w:t>
      </w:r>
      <w:r>
        <w:t xml:space="preserve"> </w:t>
      </w:r>
      <w:r>
        <w:t xml:space="preserve">Sur les quatre missions de l’année, une seule y correspond, et encore partiellement. Le poste</w:t>
      </w:r>
      <w:r>
        <w:t xml:space="preserve"> </w:t>
      </w:r>
      <w:r>
        <w:t xml:space="preserve">que j’ai réellement occupé se rapproche de celui de gestionnaire d’applications tel que le</w:t>
      </w:r>
      <w:r>
        <w:t xml:space="preserve"> </w:t>
      </w:r>
      <w:r>
        <w:t xml:space="preserve">décrivent les référentiels métier [1]. Ce qui a occupé le reste, c’est un travail de</w:t>
      </w:r>
      <w:r>
        <w:t xml:space="preserve"> </w:t>
      </w:r>
      <w:r>
        <w:t xml:space="preserve">traduction dans les deux sens : traduire une gêne exprimée par un service en question</w:t>
      </w:r>
      <w:r>
        <w:t xml:space="preserve"> </w:t>
      </w:r>
      <w:r>
        <w:t xml:space="preserve">calculable, puis traduire un résultat statistique en information sur laquelle quelqu’un peut</w:t>
      </w:r>
      <w:r>
        <w:t xml:space="preserve"> </w:t>
      </w:r>
      <w:r>
        <w:t xml:space="preserve">décider.</w:t>
      </w:r>
    </w:p>
    <w:p>
      <w:pPr>
        <w:pStyle w:val="BodyText"/>
      </w:pPr>
      <w:r>
        <w:t xml:space="preserve">Cette traduction est le vrai travail, et elle est difficile pour une raison précise : les deux</w:t>
      </w:r>
      <w:r>
        <w:t xml:space="preserve"> </w:t>
      </w:r>
      <w:r>
        <w:t xml:space="preserve">langues n’ont pas les mêmes catégories. Le service juridique parle de commandes payantes et</w:t>
      </w:r>
      <w:r>
        <w:t xml:space="preserve"> </w:t>
      </w:r>
      <w:r>
        <w:t xml:space="preserve">gratuites ; la base ne connaît que des lignes sans position dans une séquence. La direction</w:t>
      </w:r>
      <w:r>
        <w:t xml:space="preserve"> </w:t>
      </w:r>
      <w:r>
        <w:t xml:space="preserve">financière parle d’opérations qui dérivent ; les exports ne contiennent qu’un budget et un</w:t>
      </w:r>
      <w:r>
        <w:t xml:space="preserve"> </w:t>
      </w:r>
      <w:r>
        <w:t xml:space="preserve">engagé à une date. Chaque fois, il a fallu construire la catégorie manquante, et ce sont ces</w:t>
      </w:r>
      <w:r>
        <w:t xml:space="preserve"> </w:t>
      </w:r>
      <w:r>
        <w:t xml:space="preserve">constructions qui engagent le plus, parce qu’elles décident de ce que l’entreprise pourra</w:t>
      </w:r>
      <w:r>
        <w:t xml:space="preserve"> </w:t>
      </w:r>
      <w:r>
        <w:t xml:space="preserve">observer ensuite.</w:t>
      </w:r>
    </w:p>
    <w:bookmarkEnd w:id="170"/>
    <w:bookmarkStart w:id="171" w:name="la-place-réelle-de-la-modélisation"/>
    <w:p>
      <w:pPr>
        <w:pStyle w:val="Heading3"/>
      </w:pPr>
      <w:r>
        <w:t xml:space="preserve">7.1.2 La place réelle de la modélisation</w:t>
      </w:r>
    </w:p>
    <w:p>
      <w:pPr>
        <w:pStyle w:val="FirstParagraph"/>
      </w:pPr>
      <w:r>
        <w:t xml:space="preserve">Le second constat est plus inconfortable, et je le formule d’autant plus volontiers qu’il va</w:t>
      </w:r>
      <w:r>
        <w:t xml:space="preserve"> </w:t>
      </w:r>
      <w:r>
        <w:t xml:space="preserve">contre ce que j’espérais démontrer en commençant le projet du second semestre.</w:t>
      </w:r>
    </w:p>
    <w:p>
      <w:pPr>
        <w:pStyle w:val="BodyText"/>
      </w:pPr>
      <w:r>
        <w:t xml:space="preserve">Dans le Copilote Financier, la page la plus consultée par les contrôleurs de gestion ne</w:t>
      </w:r>
      <w:r>
        <w:t xml:space="preserve"> </w:t>
      </w:r>
      <w:r>
        <w:t xml:space="preserve">repose sur aucun modèle appris. C’est un tableau descriptif de dépassements en euros, calculé</w:t>
      </w:r>
      <w:r>
        <w:t xml:space="preserve"> </w:t>
      </w:r>
      <w:r>
        <w:t xml:space="preserve">en SQL. Le modèle statistique intervient en complément, pour hiérarchiser l’attention, et il</w:t>
      </w:r>
      <w:r>
        <w:t xml:space="preserve"> </w:t>
      </w:r>
      <w:r>
        <w:t xml:space="preserve">le fait avec des performances modestes que le chapitre 5 expose sans les farder.</w:t>
      </w:r>
    </w:p>
    <w:p>
      <w:pPr>
        <w:pStyle w:val="BodyText"/>
      </w:pPr>
      <w:r>
        <w:t xml:space="preserve">Je ne tire pas de ce constat que la modélisation serait inutile. J’en tire deux choses plus</w:t>
      </w:r>
      <w:r>
        <w:t xml:space="preserve"> </w:t>
      </w:r>
      <w:r>
        <w:t xml:space="preserve">précises. La première est que</w:t>
      </w:r>
      <w:r>
        <w:t xml:space="preserve"> </w:t>
      </w:r>
      <w:r>
        <w:rPr>
          <w:bCs/>
          <w:b/>
        </w:rPr>
        <w:t xml:space="preserve">la valeur d’un projet data ne se mesure pas au degré de</w:t>
      </w:r>
      <w:r>
        <w:rPr>
          <w:bCs/>
          <w:b/>
        </w:rPr>
        <w:t xml:space="preserve"> </w:t>
      </w:r>
      <w:r>
        <w:rPr>
          <w:bCs/>
          <w:b/>
        </w:rPr>
        <w:t xml:space="preserve">sophistication des méthodes employées</w:t>
      </w:r>
      <w:r>
        <w:t xml:space="preserve">, mais à l’écart entre ce que l’entreprise savait avant</w:t>
      </w:r>
      <w:r>
        <w:t xml:space="preserve"> </w:t>
      </w:r>
      <w:r>
        <w:t xml:space="preserve">et après. À cette aune, le résultat le plus utile de l’année est peut-être le constat sur la</w:t>
      </w:r>
      <w:r>
        <w:t xml:space="preserve"> </w:t>
      </w:r>
      <w:r>
        <w:t xml:space="preserve">qualité de saisie d’une agence, obtenu avec des moyens élémentaires.</w:t>
      </w:r>
    </w:p>
    <w:p>
      <w:pPr>
        <w:pStyle w:val="BodyText"/>
      </w:pPr>
      <w:r>
        <w:t xml:space="preserve">La seconde est que</w:t>
      </w:r>
      <w:r>
        <w:t xml:space="preserve"> </w:t>
      </w:r>
      <w:r>
        <w:rPr>
          <w:bCs/>
          <w:b/>
        </w:rPr>
        <w:t xml:space="preserve">le choix de la méthode se déduit de la donnée disponible, jamais de</w:t>
      </w:r>
      <w:r>
        <w:rPr>
          <w:bCs/>
          <w:b/>
        </w:rPr>
        <w:t xml:space="preserve"> </w:t>
      </w:r>
      <w:r>
        <w:rPr>
          <w:bCs/>
          <w:b/>
        </w:rPr>
        <w:t xml:space="preserve">l’ambition du projet</w:t>
      </w:r>
      <w:r>
        <w:t xml:space="preserve">. Sur le rythme de vente, la profondeur temporelle des données autorisait</w:t>
      </w:r>
      <w:r>
        <w:t xml:space="preserve"> </w:t>
      </w:r>
      <w:r>
        <w:t xml:space="preserve">un modèle exigeant, et il a donné un résultat solide. Sur le risque de marge, l’absence</w:t>
      </w:r>
      <w:r>
        <w:t xml:space="preserve"> </w:t>
      </w:r>
      <w:r>
        <w:t xml:space="preserve">d’historique interdisait tout modèle dynamique, et aucune sophistication n’aurait compensé</w:t>
      </w:r>
      <w:r>
        <w:t xml:space="preserve"> </w:t>
      </w:r>
      <w:r>
        <w:t xml:space="preserve">cette absence. Comprendre cela avant de choisir un algorithme, plutôt qu’après l’avoir</w:t>
      </w:r>
      <w:r>
        <w:t xml:space="preserve"> </w:t>
      </w:r>
      <w:r>
        <w:t xml:space="preserve">évalué, est ce que cette année m’a le mieux appris.</w:t>
      </w:r>
    </w:p>
    <w:bookmarkEnd w:id="171"/>
    <w:bookmarkStart w:id="172" w:name="Xf12099931cbe2a77cc5a20cfd033a121e13187a"/>
    <w:p>
      <w:pPr>
        <w:pStyle w:val="Heading3"/>
      </w:pPr>
      <w:r>
        <w:t xml:space="preserve">7.1.3 L’honnêteté sur ce qu’un résultat ne dit pas</w:t>
      </w:r>
    </w:p>
    <w:p>
      <w:pPr>
        <w:pStyle w:val="FirstParagraph"/>
      </w:pPr>
      <w:r>
        <w:t xml:space="preserve">Le troisième constat porte sur une exigence que je n’attendais pas au même niveau. Dans un</w:t>
      </w:r>
      <w:r>
        <w:t xml:space="preserve"> </w:t>
      </w:r>
      <w:r>
        <w:t xml:space="preserve">exercice universitaire, présenter un modèle faible est un mauvais résultat ; dans une</w:t>
      </w:r>
      <w:r>
        <w:t xml:space="preserve"> </w:t>
      </w:r>
      <w:r>
        <w:t xml:space="preserve">entreprise, présenter un modèle faible</w:t>
      </w:r>
      <w:r>
        <w:t xml:space="preserve"> </w:t>
      </w:r>
      <w:r>
        <w:rPr>
          <w:bCs/>
          <w:b/>
        </w:rPr>
        <w:t xml:space="preserve">sans le dire</w:t>
      </w:r>
      <w:r>
        <w:t xml:space="preserve"> </w:t>
      </w:r>
      <w:r>
        <w:t xml:space="preserve">est bien pire, parce que quelqu’un</w:t>
      </w:r>
      <w:r>
        <w:t xml:space="preserve"> </w:t>
      </w:r>
      <w:r>
        <w:t xml:space="preserve">décidera dessus. J’ai donc fait de l’énoncé des limites une partie du livrable, au même titre</w:t>
      </w:r>
      <w:r>
        <w:t xml:space="preserve"> </w:t>
      </w:r>
      <w:r>
        <w:t xml:space="preserve">que les résultats : le paramètre d’élasticité emprunté à la littérature, l’absence</w:t>
      </w:r>
      <w:r>
        <w:t xml:space="preserve"> </w:t>
      </w:r>
      <w:r>
        <w:t xml:space="preserve">d’historique qui plafonne un axe entier, les intervalles de prévision qui ignorent</w:t>
      </w:r>
      <w:r>
        <w:t xml:space="preserve"> </w:t>
      </w:r>
      <w:r>
        <w:t xml:space="preserve">l’incertitude sur les taux futurs. Cette pratique a un effet secondaire que je n’avais pas</w:t>
      </w:r>
      <w:r>
        <w:t xml:space="preserve"> </w:t>
      </w:r>
      <w:r>
        <w:t xml:space="preserve">anticipé : elle rend les recommandations plus faciles à discuter, parce que l’interlocuteur</w:t>
      </w:r>
      <w:r>
        <w:t xml:space="preserve"> </w:t>
      </w:r>
      <w:r>
        <w:t xml:space="preserve">sait sur quoi il peut s’appuyer.</w:t>
      </w:r>
    </w:p>
    <w:bookmarkEnd w:id="172"/>
    <w:bookmarkEnd w:id="173"/>
    <w:bookmarkStart w:id="176" w:name="Xcb3589556fd4930a31b273a9ed549e7bcea5e42"/>
    <w:p>
      <w:pPr>
        <w:pStyle w:val="Heading2"/>
      </w:pPr>
      <w:r>
        <w:t xml:space="preserve">7.2 Ce que j’ai appris de la pratique professionnelle</w:t>
      </w:r>
    </w:p>
    <w:bookmarkStart w:id="174" w:name="documenter-est-un-acte-technique"/>
    <w:p>
      <w:pPr>
        <w:pStyle w:val="Heading3"/>
      </w:pPr>
      <w:r>
        <w:t xml:space="preserve">7.2.1 Documenter est un acte technique</w:t>
      </w:r>
    </w:p>
    <w:p>
      <w:pPr>
        <w:pStyle w:val="FirstParagraph"/>
      </w:pPr>
      <w:r>
        <w:t xml:space="preserve">J’ai longtemps considéré la documentation comme une formalité qui suit le travail. Deux</w:t>
      </w:r>
      <w:r>
        <w:t xml:space="preserve"> </w:t>
      </w:r>
      <w:r>
        <w:t xml:space="preserve">épisodes m’ont fait changer d’avis. La note interne sur la séquence d’injection, d’abord,</w:t>
      </w:r>
      <w:r>
        <w:t xml:space="preserve"> </w:t>
      </w:r>
      <w:r>
        <w:t xml:space="preserve">rédigée après l’avoir reconstituée par les codes d’erreur : elle a servi à la reprise des</w:t>
      </w:r>
      <w:r>
        <w:t xml:space="preserve"> </w:t>
      </w:r>
      <w:r>
        <w:t xml:space="preserve">tiers six mois plus tard, et elle aurait servi à quelqu’un d’autre si je n’avais pas été là.</w:t>
      </w:r>
      <w:r>
        <w:t xml:space="preserve"> </w:t>
      </w:r>
      <w:r>
        <w:t xml:space="preserve">La note de procédure de l’import des tiers ensuite, qui énonce les manipulations à ne jamais</w:t>
      </w:r>
      <w:r>
        <w:t xml:space="preserve"> </w:t>
      </w:r>
      <w:r>
        <w:t xml:space="preserve">faire avant d’expliquer comment utiliser le fichier — ordre qui n’est pas rhétorique,</w:t>
      </w:r>
      <w:r>
        <w:t xml:space="preserve"> </w:t>
      </w:r>
      <w:r>
        <w:t xml:space="preserve">puisqu’elles cassent le fichier sans produire le moindre message d’erreur.</w:t>
      </w:r>
    </w:p>
    <w:p>
      <w:pPr>
        <w:pStyle w:val="BodyText"/>
      </w:pPr>
      <w:r>
        <w:t xml:space="preserve">J’en retire une formulation que j’assume :</w:t>
      </w:r>
      <w:r>
        <w:t xml:space="preserve"> </w:t>
      </w:r>
      <w:r>
        <w:rPr>
          <w:bCs/>
          <w:b/>
        </w:rPr>
        <w:t xml:space="preserve">documenter, ce n’est pas décrire ce qu’on a fait,</w:t>
      </w:r>
      <w:r>
        <w:rPr>
          <w:bCs/>
          <w:b/>
        </w:rPr>
        <w:t xml:space="preserve"> </w:t>
      </w:r>
      <w:r>
        <w:rPr>
          <w:bCs/>
          <w:b/>
        </w:rPr>
        <w:t xml:space="preserve">c’est rendre le travail reprenable par quelqu’un d’autre</w:t>
      </w:r>
      <w:r>
        <w:t xml:space="preserve">. Une description raconte les</w:t>
      </w:r>
      <w:r>
        <w:t xml:space="preserve"> </w:t>
      </w:r>
      <w:r>
        <w:t xml:space="preserve">étapes ; une documentation utile énonce les règles, les pièges et les décisions, c’est-à-dire</w:t>
      </w:r>
      <w:r>
        <w:t xml:space="preserve"> </w:t>
      </w:r>
      <w:r>
        <w:t xml:space="preserve">ce qui ne se déduit pas du résultat.</w:t>
      </w:r>
    </w:p>
    <w:bookmarkEnd w:id="174"/>
    <w:bookmarkStart w:id="175" w:name="livrer-cest-faire-adopter"/>
    <w:p>
      <w:pPr>
        <w:pStyle w:val="Heading3"/>
      </w:pPr>
      <w:r>
        <w:t xml:space="preserve">7.2.2 Livrer, c’est faire adopter</w:t>
      </w:r>
    </w:p>
    <w:p>
      <w:pPr>
        <w:pStyle w:val="FirstParagraph"/>
      </w:pPr>
      <w:r>
        <w:t xml:space="preserve">La leçon la plus nette de l’année tient en un épisode : la première version de l’interface du</w:t>
      </w:r>
      <w:r>
        <w:t xml:space="preserve"> </w:t>
      </w:r>
      <w:r>
        <w:t xml:space="preserve">Copilote Financier, techniquement correcte, était inutilisable par ceux à qui elle était</w:t>
      </w:r>
      <w:r>
        <w:t xml:space="preserve"> </w:t>
      </w:r>
      <w:r>
        <w:t xml:space="preserve">destinée, parce qu’elle parlait de scores et de probabilités là où l’on attendait des niveaux</w:t>
      </w:r>
      <w:r>
        <w:t xml:space="preserve"> </w:t>
      </w:r>
      <w:r>
        <w:t xml:space="preserve">d’alerte et des euros.</w:t>
      </w:r>
    </w:p>
    <w:p>
      <w:pPr>
        <w:pStyle w:val="BodyText"/>
      </w:pPr>
      <w:r>
        <w:t xml:space="preserve">Ce que j’en retiens dépasse le vocabulaire des écrans. Un livrable n’existe qu’à partir du</w:t>
      </w:r>
      <w:r>
        <w:t xml:space="preserve"> </w:t>
      </w:r>
      <w:r>
        <w:t xml:space="preserve">moment où quelqu’un s’en sert, et la distance entre un résultat juste et un résultat utilisé</w:t>
      </w:r>
      <w:r>
        <w:t xml:space="preserve"> </w:t>
      </w:r>
      <w:r>
        <w:t xml:space="preserve">ne se comble pas par de la pédagogie. Elle se comble en changeant le livrable. La même chose</w:t>
      </w:r>
      <w:r>
        <w:t xml:space="preserve"> </w:t>
      </w:r>
      <w:r>
        <w:t xml:space="preserve">s’est vérifiée, sur un terrain bien plus modeste, lors du déploiement du SSO :</w:t>
      </w:r>
      <w:r>
        <w:t xml:space="preserve"> </w:t>
      </w:r>
      <w:r>
        <w:t xml:space="preserve">l’accompagnement des utilisateurs à leur première connexion faisait partie du déploiement, il</w:t>
      </w:r>
      <w:r>
        <w:t xml:space="preserve"> </w:t>
      </w:r>
      <w:r>
        <w:t xml:space="preserve">n’en était pas le service après-vente.</w:t>
      </w:r>
    </w:p>
    <w:bookmarkEnd w:id="175"/>
    <w:bookmarkEnd w:id="176"/>
    <w:bookmarkStart w:id="180" w:name="perspectives-des-projets-engagés"/>
    <w:p>
      <w:pPr>
        <w:pStyle w:val="Heading2"/>
      </w:pPr>
      <w:r>
        <w:t xml:space="preserve">7.3 Perspectives des projets engagés</w:t>
      </w:r>
    </w:p>
    <w:p>
      <w:pPr>
        <w:pStyle w:val="FirstParagraph"/>
      </w:pPr>
      <w:r>
        <w:t xml:space="preserve">Aucun des chantiers de cette année n’est achevé. Trois perspectives se dégagent, dans un ordre</w:t>
      </w:r>
      <w:r>
        <w:t xml:space="preserve"> </w:t>
      </w:r>
      <w:r>
        <w:t xml:space="preserve">de priorité qui est celui de l’entreprise.</w:t>
      </w:r>
    </w:p>
    <w:bookmarkStart w:id="177" w:name="X236326a96835d819191eef59b1db051d25f145a"/>
    <w:p>
      <w:pPr>
        <w:pStyle w:val="Heading3"/>
      </w:pPr>
      <w:r>
        <w:t xml:space="preserve">7.3.1 Achever la reprise et historiser les données</w:t>
      </w:r>
    </w:p>
    <w:p>
      <w:pPr>
        <w:pStyle w:val="FirstParagraph"/>
      </w:pPr>
      <w:r>
        <w:t xml:space="preserve">La migration vers SPO reste prioritaire. La stratégie des « coquilles vides », si elle a sauvé</w:t>
      </w:r>
      <w:r>
        <w:t xml:space="preserve"> </w:t>
      </w:r>
      <w:r>
        <w:t xml:space="preserve">le démarrage de la facturation, doit laisser place à une reprise exhaustive : historiques</w:t>
      </w:r>
      <w:r>
        <w:t xml:space="preserve"> </w:t>
      </w:r>
      <w:r>
        <w:t xml:space="preserve">budgétaires complets, contrôle de cohérence comptable et tests finaux avant la bascule</w:t>
      </w:r>
      <w:r>
        <w:t xml:space="preserve"> </w:t>
      </w:r>
      <w:r>
        <w:t xml:space="preserve">définitive. Le fichier de reprise des tiers devra être rejoué avant cette bascule, pour</w:t>
      </w:r>
      <w:r>
        <w:t xml:space="preserve"> </w:t>
      </w:r>
      <w:r>
        <w:t xml:space="preserve">écarter les tiers créés entre-temps par les équipes commerciales.</w:t>
      </w:r>
    </w:p>
    <w:p>
      <w:pPr>
        <w:pStyle w:val="BodyText"/>
      </w:pPr>
      <w:r>
        <w:t xml:space="preserve">À ce chantier s’ajoute la recommandation la plus structurante que je laisse à l’entreprise :</w:t>
      </w:r>
      <w:r>
        <w:t xml:space="preserve"> </w:t>
      </w:r>
      <w:r>
        <w:rPr>
          <w:bCs/>
          <w:b/>
        </w:rPr>
        <w:t xml:space="preserve">historiser les exports mensuels dans le nouvel ERP</w:t>
      </w:r>
      <w:r>
        <w:t xml:space="preserve">. C’est l’absence de cet historique qui</w:t>
      </w:r>
      <w:r>
        <w:t xml:space="preserve"> </w:t>
      </w:r>
      <w:r>
        <w:t xml:space="preserve">plafonne aujourd’hui l’analyse du risque de marge. Au bout d’un an de conservation, le score</w:t>
      </w:r>
      <w:r>
        <w:t xml:space="preserve"> </w:t>
      </w:r>
      <w:r>
        <w:t xml:space="preserve">statique deviendrait un véritable suivi de trajectoire, et l’axe le plus attendu du Copilote</w:t>
      </w:r>
      <w:r>
        <w:t xml:space="preserve"> </w:t>
      </w:r>
      <w:r>
        <w:t xml:space="preserve">Financier changerait de nature. Cette recommandation ne coûte presque rien à mettre en œuvre ;</w:t>
      </w:r>
      <w:r>
        <w:t xml:space="preserve"> </w:t>
      </w:r>
      <w:r>
        <w:t xml:space="preserve">elle coûte seulement d’y penser maintenant plutôt que dans deux ans.</w:t>
      </w:r>
    </w:p>
    <w:bookmarkEnd w:id="177"/>
    <w:bookmarkStart w:id="178" w:name="faire-vivre-le-copilote-financier"/>
    <w:p>
      <w:pPr>
        <w:pStyle w:val="Heading3"/>
      </w:pPr>
      <w:r>
        <w:t xml:space="preserve">7.3.2 Faire vivre le Copilote Financier</w:t>
      </w:r>
    </w:p>
    <w:p>
      <w:pPr>
        <w:pStyle w:val="FirstParagraph"/>
      </w:pPr>
      <w:r>
        <w:t xml:space="preserve">L’application livrée est fonctionnelle et reproductible, mais elle reste une photographie.</w:t>
      </w:r>
      <w:r>
        <w:t xml:space="preserve"> </w:t>
      </w:r>
      <w:r>
        <w:t xml:space="preserve">Trois évolutions la rendraient durable.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L’historisation des données</w:t>
      </w:r>
      <w:r>
        <w:t xml:space="preserve">, déjà évoquée, qui transformerait le score de risque en</w:t>
      </w:r>
      <w:r>
        <w:t xml:space="preserve"> </w:t>
      </w:r>
      <w:r>
        <w:t xml:space="preserve">suivi.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L’extension à l’aménagement foncier</w:t>
      </w:r>
      <w:r>
        <w:t xml:space="preserve">, aujourd’hui exclu du périmètre de l’application. La</w:t>
      </w:r>
      <w:r>
        <w:t xml:space="preserve"> </w:t>
      </w:r>
      <w:r>
        <w:t xml:space="preserve">logique économique de cette activité étant différente, cette extension suppose un</w:t>
      </w:r>
      <w:r>
        <w:t xml:space="preserve"> </w:t>
      </w:r>
      <w:r>
        <w:t xml:space="preserve">traitement dédié plutôt qu’une simple levée de filtre.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La fiabilisation de la saisie des motifs de désistement</w:t>
      </w:r>
      <w:r>
        <w:t xml:space="preserve">, sans laquelle les analyses</w:t>
      </w:r>
      <w:r>
        <w:t xml:space="preserve"> </w:t>
      </w:r>
      <w:r>
        <w:t xml:space="preserve">commerciales resteront partielles sur une partie du réseau.</w:t>
      </w:r>
    </w:p>
    <w:bookmarkEnd w:id="178"/>
    <w:bookmarkStart w:id="179" w:name="lintégration-à-linfrastructure-nexity"/>
    <w:p>
      <w:pPr>
        <w:pStyle w:val="Heading3"/>
      </w:pPr>
      <w:r>
        <w:t xml:space="preserve">7.3.3 L’intégration à l’infrastructure Nexity</w:t>
      </w:r>
    </w:p>
    <w:p>
      <w:pPr>
        <w:pStyle w:val="FirstParagraph"/>
      </w:pPr>
      <w:r>
        <w:t xml:space="preserve">Une mission structurante, non prévue initialement, s’ajoute à cette feuille de route : le</w:t>
      </w:r>
      <w:r>
        <w:t xml:space="preserve"> </w:t>
      </w:r>
      <w:r>
        <w:t xml:space="preserve">passage vers l’infrastructure technique du groupe Nexity, qui engendrera des adaptations de</w:t>
      </w:r>
      <w:r>
        <w:t xml:space="preserve"> </w:t>
      </w:r>
      <w:r>
        <w:t xml:space="preserve">nos outils — reconfiguration des connecteurs de bases, protocoles de sécurité pour les accès</w:t>
      </w:r>
      <w:r>
        <w:t xml:space="preserve"> </w:t>
      </w:r>
      <w:r>
        <w:t xml:space="preserve">distants, migration de scripts d’automatisation. Cette perspective a déjà influé sur mes choix</w:t>
      </w:r>
      <w:r>
        <w:t xml:space="preserve"> </w:t>
      </w:r>
      <w:r>
        <w:t xml:space="preserve">techniques : le test de montée en charge conduit dans le projet analytique n’avait pas d’autre</w:t>
      </w:r>
      <w:r>
        <w:t xml:space="preserve"> </w:t>
      </w:r>
      <w:r>
        <w:t xml:space="preserve">objet que de savoir si l’architecture retenue tiendrait à une échelle supérieure.</w:t>
      </w:r>
    </w:p>
    <w:bookmarkEnd w:id="179"/>
    <w:bookmarkEnd w:id="180"/>
    <w:bookmarkStart w:id="183" w:name="mon-projet-professionnel"/>
    <w:p>
      <w:pPr>
        <w:pStyle w:val="Heading2"/>
      </w:pPr>
      <w:r>
        <w:t xml:space="preserve">7.4 Mon projet professionnel</w:t>
      </w:r>
    </w:p>
    <w:bookmarkStart w:id="181" w:name="le-positionnement-que-je-vise"/>
    <w:p>
      <w:pPr>
        <w:pStyle w:val="Heading3"/>
      </w:pPr>
      <w:r>
        <w:t xml:space="preserve">7.4.1 Le positionnement que je vise</w:t>
      </w:r>
    </w:p>
    <w:p>
      <w:pPr>
        <w:pStyle w:val="FirstParagraph"/>
      </w:pPr>
      <w:r>
        <w:t xml:space="preserve">Ces deux années ont déplacé mon projet. J’y suis entrée en visant la data science au sens</w:t>
      </w:r>
      <w:r>
        <w:t xml:space="preserve"> </w:t>
      </w:r>
      <w:r>
        <w:t xml:space="preserve">strict, la modélisation prédictive ; j’en sors en visant un positionnement plus large :</w:t>
      </w:r>
      <w:r>
        <w:t xml:space="preserve"> </w:t>
      </w:r>
      <w:r>
        <w:rPr>
          <w:bCs/>
          <w:b/>
        </w:rPr>
        <w:t xml:space="preserve">construire et fiabiliser les chaînes de données qui rendent la décision possible, puis les</w:t>
      </w:r>
      <w:r>
        <w:rPr>
          <w:bCs/>
          <w:b/>
        </w:rPr>
        <w:t xml:space="preserve"> </w:t>
      </w:r>
      <w:r>
        <w:rPr>
          <w:bCs/>
          <w:b/>
        </w:rPr>
        <w:t xml:space="preserve">outiller</w:t>
      </w:r>
      <w:r>
        <w:t xml:space="preserve">. Il croise trois domaines que l’année m’a fait pratiquer ensemble :</w:t>
      </w:r>
      <w:r>
        <w:t xml:space="preserve"> </w:t>
      </w:r>
      <w:r>
        <w:t xml:space="preserve">l’</w:t>
      </w:r>
      <w:r>
        <w:rPr>
          <w:bCs/>
          <w:b/>
        </w:rPr>
        <w:t xml:space="preserve">ingénierie des données</w:t>
      </w:r>
      <w:r>
        <w:t xml:space="preserve">, sur laquelle j’ai le plus progressé — reprises, migrations,</w:t>
      </w:r>
      <w:r>
        <w:t xml:space="preserve"> </w:t>
      </w:r>
      <w:r>
        <w:t xml:space="preserve">interfaces de programmation, déduplication, modélisation d’une base analytique ;</w:t>
      </w:r>
      <w:r>
        <w:t xml:space="preserve"> </w:t>
      </w:r>
      <w:r>
        <w:t xml:space="preserve">l’</w:t>
      </w:r>
      <w:r>
        <w:rPr>
          <w:bCs/>
          <w:b/>
        </w:rPr>
        <w:t xml:space="preserve">analyse et la modélisation</w:t>
      </w:r>
      <w:r>
        <w:t xml:space="preserve">, entendues comme le choix d’une méthode proportionnée à la</w:t>
      </w:r>
      <w:r>
        <w:t xml:space="preserve"> </w:t>
      </w:r>
      <w:r>
        <w:t xml:space="preserve">donnée disponible et sa validation honnête ; la</w:t>
      </w:r>
      <w:r>
        <w:t xml:space="preserve"> </w:t>
      </w:r>
      <w:r>
        <w:rPr>
          <w:bCs/>
          <w:b/>
        </w:rPr>
        <w:t xml:space="preserve">restitution et le dialogue avec les</w:t>
      </w:r>
      <w:r>
        <w:rPr>
          <w:bCs/>
          <w:b/>
        </w:rPr>
        <w:t xml:space="preserve"> </w:t>
      </w:r>
      <w:r>
        <w:rPr>
          <w:bCs/>
          <w:b/>
        </w:rPr>
        <w:t xml:space="preserve">métiers</w:t>
      </w:r>
      <w:r>
        <w:t xml:space="preserve">, c’est-à-dire la traduction d’un besoin en spécification puis d’un résultat en écran.</w:t>
      </w:r>
      <w:r>
        <w:t xml:space="preserve"> </w:t>
      </w:r>
      <w:r>
        <w:t xml:space="preserve">Un profil qui ne tiendrait que le premier produirait des pipelines que personne n’interroge ;</w:t>
      </w:r>
      <w:r>
        <w:t xml:space="preserve"> </w:t>
      </w:r>
      <w:r>
        <w:t xml:space="preserve">un profil qui ne tiendrait que le deuxième modéliserait des données dont il ignore la</w:t>
      </w:r>
      <w:r>
        <w:t xml:space="preserve"> </w:t>
      </w:r>
      <w:r>
        <w:t xml:space="preserve">provenance.</w:t>
      </w:r>
    </w:p>
    <w:p>
      <w:pPr>
        <w:pStyle w:val="BodyText"/>
      </w:pPr>
      <w:r>
        <w:t xml:space="preserve">À court terme, je souhaite poursuivre au sein du groupe, sur le périmètre données et système</w:t>
      </w:r>
      <w:r>
        <w:t xml:space="preserve"> </w:t>
      </w:r>
      <w:r>
        <w:t xml:space="preserve">d’information : la reprise des historiques budgétaires, la bascule définitive vers SPO et</w:t>
      </w:r>
      <w:r>
        <w:t xml:space="preserve"> </w:t>
      </w:r>
      <w:r>
        <w:t xml:space="preserve">l’adaptation des outils à l’infrastructure Nexity forment un ensemble sur lequel ma</w:t>
      </w:r>
      <w:r>
        <w:t xml:space="preserve"> </w:t>
      </w:r>
      <w:r>
        <w:t xml:space="preserve">connaissance du modèle de données constitue un avantage que personne d’autre n’a aujourd’hui</w:t>
      </w:r>
      <w:r>
        <w:t xml:space="preserve"> </w:t>
      </w:r>
      <w:r>
        <w:t xml:space="preserve">dans l’entreprise. À moyen terme, je vise un poste d’ingénieure données orientée aide à la</w:t>
      </w:r>
      <w:r>
        <w:t xml:space="preserve"> </w:t>
      </w:r>
      <w:r>
        <w:t xml:space="preserve">décision, dans une entreprise de taille intermédiaire sans équipe data constituée, où le poste</w:t>
      </w:r>
      <w:r>
        <w:t xml:space="preserve"> </w:t>
      </w:r>
      <w:r>
        <w:t xml:space="preserve">couvre toute la chaîne, ou dans une direction data structurée où je travaillerais enfin à</w:t>
      </w:r>
      <w:r>
        <w:t xml:space="preserve"> </w:t>
      </w:r>
      <w:r>
        <w:t xml:space="preserve">plusieurs sur un même chantier.</w:t>
      </w:r>
    </w:p>
    <w:bookmarkEnd w:id="181"/>
    <w:bookmarkStart w:id="182" w:name="Xe4f35a94dbf028bc7877aed079274c1969e0444"/>
    <w:p>
      <w:pPr>
        <w:pStyle w:val="Heading3"/>
      </w:pPr>
      <w:r>
        <w:t xml:space="preserve">7.4.2 Les compétences qu’il me reste à consolider</w:t>
      </w:r>
    </w:p>
    <w:p>
      <w:pPr>
        <w:pStyle w:val="FirstParagraph"/>
      </w:pPr>
      <w:r>
        <w:t xml:space="preserve">Il serait présomptueux de conclure sans nommer ce qui me manque, d’autant que l’année l’a</w:t>
      </w:r>
      <w:r>
        <w:t xml:space="preserve"> </w:t>
      </w:r>
      <w:r>
        <w:t xml:space="preserve">rendu visible. L’</w:t>
      </w:r>
      <w:r>
        <w:rPr>
          <w:bCs/>
          <w:b/>
        </w:rPr>
        <w:t xml:space="preserve">industrialisation</w:t>
      </w:r>
      <w:r>
        <w:t xml:space="preserve"> </w:t>
      </w:r>
      <w:r>
        <w:t xml:space="preserve">d’abord : j’ai construit des chaînes reproductibles,</w:t>
      </w:r>
      <w:r>
        <w:t xml:space="preserve"> </w:t>
      </w:r>
      <w:r>
        <w:t xml:space="preserve">mais elles se lancent à la main, et passer à une exécution planifiée, surveillée et alertée en</w:t>
      </w:r>
      <w:r>
        <w:t xml:space="preserve"> </w:t>
      </w:r>
      <w:r>
        <w:t xml:space="preserve">cas d’échec est ce qui sépare un livrable d’un service. La</w:t>
      </w:r>
      <w:r>
        <w:t xml:space="preserve"> </w:t>
      </w:r>
      <w:r>
        <w:rPr>
          <w:bCs/>
          <w:b/>
        </w:rPr>
        <w:t xml:space="preserve">profondeur statistique sur les</w:t>
      </w:r>
      <w:r>
        <w:rPr>
          <w:bCs/>
          <w:b/>
        </w:rPr>
        <w:t xml:space="preserve"> </w:t>
      </w:r>
      <w:r>
        <w:rPr>
          <w:bCs/>
          <w:b/>
        </w:rPr>
        <w:t xml:space="preserve">données temporelles</w:t>
      </w:r>
      <w:r>
        <w:t xml:space="preserve"> </w:t>
      </w:r>
      <w:r>
        <w:t xml:space="preserve">ensuite : c’est l’axe où le projet du second semestre a donné les</w:t>
      </w:r>
      <w:r>
        <w:t xml:space="preserve"> </w:t>
      </w:r>
      <w:r>
        <w:t xml:space="preserve">meilleurs résultats, et celui où j’ai le plus senti la limite de mes acquis. La</w:t>
      </w:r>
      <w:r>
        <w:t xml:space="preserve"> </w:t>
      </w:r>
      <w:r>
        <w:rPr>
          <w:bCs/>
          <w:b/>
        </w:rPr>
        <w:t xml:space="preserve">conduite d’un</w:t>
      </w:r>
      <w:r>
        <w:rPr>
          <w:bCs/>
          <w:b/>
        </w:rPr>
        <w:t xml:space="preserve"> </w:t>
      </w:r>
      <w:r>
        <w:rPr>
          <w:bCs/>
          <w:b/>
        </w:rPr>
        <w:t xml:space="preserve">projet à plusieurs</w:t>
      </w:r>
      <w:r>
        <w:t xml:space="preserve"> </w:t>
      </w:r>
      <w:r>
        <w:t xml:space="preserve">enfin : deux ans seule sur les sujets data laissent hors champ les</w:t>
      </w:r>
      <w:r>
        <w:t xml:space="preserve"> </w:t>
      </w:r>
      <w:r>
        <w:t xml:space="preserve">conventions de code partagées, la revue par un pair et la répartition d’un chantier entre</w:t>
      </w:r>
      <w:r>
        <w:t xml:space="preserve"> </w:t>
      </w:r>
      <w:r>
        <w:t xml:space="preserve">plusieurs personnes.</w:t>
      </w:r>
    </w:p>
    <w:p>
      <w:pPr>
        <w:pStyle w:val="BodyText"/>
      </w:pPr>
      <w:r>
        <w:t xml:space="preserve">Il reste à refermer l’ensemble. La conclusion revient sur la thèse annoncée en introduction,</w:t>
      </w:r>
      <w:r>
        <w:t xml:space="preserve"> </w:t>
      </w:r>
      <w:r>
        <w:t xml:space="preserve">pour dire dans quelle mesure l’année l’a démontrée.</w:t>
      </w:r>
    </w:p>
    <w:bookmarkEnd w:id="182"/>
    <w:bookmarkEnd w:id="183"/>
    <w:bookmarkEnd w:id="184"/>
    <w:bookmarkStart w:id="18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Cette deuxième année d’alternance a été dominée par des enjeux d’ingénierie des données et</w:t>
      </w:r>
      <w:r>
        <w:t xml:space="preserve"> </w:t>
      </w:r>
      <w:r>
        <w:t xml:space="preserve">d’architecture système, avant de revenir au second semestre à la modélisation statistique.</w:t>
      </w:r>
    </w:p>
    <w:p>
      <w:pPr>
        <w:pStyle w:val="BodyText"/>
      </w:pPr>
      <w:r>
        <w:t xml:space="preserve">Le premier semestre a été celui de la reconstruction du socle. La migration de Grimmo vers</w:t>
      </w:r>
      <w:r>
        <w:t xml:space="preserve"> </w:t>
      </w:r>
      <w:r>
        <w:t xml:space="preserve">l’ERP SPO ne consistait pas à transférer des données, mais à rétro-concevoir un modèle dont</w:t>
      </w:r>
      <w:r>
        <w:t xml:space="preserve"> </w:t>
      </w:r>
      <w:r>
        <w:t xml:space="preserve">les règles n’étaient pas documentées, à résoudre des problèmes d’intégrité référentielle avec</w:t>
      </w:r>
      <w:r>
        <w:t xml:space="preserve"> </w:t>
      </w:r>
      <w:r>
        <w:t xml:space="preserve">la gestion des identifiants dynamiques et du versionnement, et à adapter la technique aux</w:t>
      </w:r>
      <w:r>
        <w:t xml:space="preserve"> </w:t>
      </w:r>
      <w:r>
        <w:t xml:space="preserve">impératifs métier — ce qu’illustre l’adoption des « coquilles vides » pour sécuriser le</w:t>
      </w:r>
      <w:r>
        <w:t xml:space="preserve"> </w:t>
      </w:r>
      <w:r>
        <w:t xml:space="preserve">démarrage de la facturation. En parallèle, j’ai maintenu le service sur le reporting, avec la</w:t>
      </w:r>
      <w:r>
        <w:t xml:space="preserve"> </w:t>
      </w:r>
      <w:r>
        <w:t xml:space="preserve">mise en œuvre d’une règle juridique complexe malgré les contraintes de nos outils, et</w:t>
      </w:r>
      <w:r>
        <w:t xml:space="preserve"> </w:t>
      </w:r>
      <w:r>
        <w:t xml:space="preserve">participé au déploiement du SSO.</w:t>
      </w:r>
    </w:p>
    <w:p>
      <w:pPr>
        <w:pStyle w:val="BodyText"/>
      </w:pPr>
      <w:r>
        <w:t xml:space="preserve">Le second semestre a prolongé ce travail, puis l’a valorisé. La reprise des tiers a achevé de</w:t>
      </w:r>
      <w:r>
        <w:t xml:space="preserve"> </w:t>
      </w:r>
      <w:r>
        <w:t xml:space="preserve">constituer le socle commercial du nouvel ERP, en créant 1 434 clients acquéreurs sans doublon</w:t>
      </w:r>
      <w:r>
        <w:t xml:space="preserve"> </w:t>
      </w:r>
      <w:r>
        <w:t xml:space="preserve">détecté par les trois clés d’unicité retenues. Le Copilote Financier a ensuite exploité ce</w:t>
      </w:r>
      <w:r>
        <w:t xml:space="preserve"> </w:t>
      </w:r>
      <w:r>
        <w:t xml:space="preserve">socle pour outiller la direction financière sur trois questions de gestion, de bout en bout,</w:t>
      </w:r>
      <w:r>
        <w:t xml:space="preserve"> </w:t>
      </w:r>
      <w:r>
        <w:t xml:space="preserve">de la compréhension des exports jusqu’à une application que les contrôleurs de gestion ouvrent</w:t>
      </w:r>
      <w:r>
        <w:t xml:space="preserve"> </w:t>
      </w:r>
      <w:r>
        <w:t xml:space="preserve">eux-mêmes.</w:t>
      </w:r>
    </w:p>
    <w:p>
      <w:pPr>
        <w:pStyle w:val="BodyText"/>
      </w:pPr>
      <w:r>
        <w:t xml:space="preserve">Ce parcours aura démontré la thèse annoncée en introduction, et il l’aura fait deux fois. Une</w:t>
      </w:r>
      <w:r>
        <w:t xml:space="preserve"> </w:t>
      </w:r>
      <w:r>
        <w:t xml:space="preserve">première fois en creux, lorsque la charge de la migration a repoussé le projet de modélisation</w:t>
      </w:r>
      <w:r>
        <w:t xml:space="preserve"> </w:t>
      </w:r>
      <w:r>
        <w:t xml:space="preserve">au second semestre : modéliser des phénomènes financiers sur une base fragmentée entre</w:t>
      </w:r>
      <w:r>
        <w:t xml:space="preserve"> </w:t>
      </w:r>
      <w:r>
        <w:t xml:space="preserve">l’ancien et le nouveau système aurait donné des résultats biaisés et non pérennes. Une seconde</w:t>
      </w:r>
      <w:r>
        <w:t xml:space="preserve"> </w:t>
      </w:r>
      <w:r>
        <w:t xml:space="preserve">fois en plein, lorsque le projet de Data Science a donné des résultats solides sur le rythme</w:t>
      </w:r>
      <w:r>
        <w:t xml:space="preserve"> </w:t>
      </w:r>
      <w:r>
        <w:t xml:space="preserve">d’écoulement, où les données avaient une profondeur temporelle, et modestes sur le risque de</w:t>
      </w:r>
      <w:r>
        <w:t xml:space="preserve"> </w:t>
      </w:r>
      <w:r>
        <w:t xml:space="preserve">marge, où elles n’étaient qu’une photographie à date. La structure de la donnée commande ce</w:t>
      </w:r>
      <w:r>
        <w:t xml:space="preserve"> </w:t>
      </w:r>
      <w:r>
        <w:t xml:space="preserve">que la modélisation peut en tirer : c’est le même énoncé, obtenu par deux chemins</w:t>
      </w:r>
      <w:r>
        <w:t xml:space="preserve"> </w:t>
      </w:r>
      <w:r>
        <w:t xml:space="preserve">indépendants.</w:t>
      </w:r>
    </w:p>
    <w:p>
      <w:pPr>
        <w:pStyle w:val="BodyText"/>
      </w:pPr>
      <w:r>
        <w:t xml:space="preserve">Il reste beaucoup à faire. La migration n’est pas achevée, l’historique budgétaire reste à</w:t>
      </w:r>
      <w:r>
        <w:t xml:space="preserve"> </w:t>
      </w:r>
      <w:r>
        <w:t xml:space="preserve">reprendre, l’intégration à l’infrastructure Nexity s’annonce, et le Copilote Financier ne</w:t>
      </w:r>
      <w:r>
        <w:t xml:space="preserve"> </w:t>
      </w:r>
      <w:r>
        <w:t xml:space="preserve">deviendra un véritable outil de suivi que lorsque les exports auront été historisés sur une</w:t>
      </w:r>
      <w:r>
        <w:t xml:space="preserve"> </w:t>
      </w:r>
      <w:r>
        <w:t xml:space="preserve">durée suffisante. Ce que cette année aura établi n’en dépend pas. Un projet de données ne se</w:t>
      </w:r>
      <w:r>
        <w:t xml:space="preserve"> </w:t>
      </w:r>
      <w:r>
        <w:t xml:space="preserve">joue pas au moment du choix de l’algorithme mais bien avant, lorsqu’on décide ce qu’est un</w:t>
      </w:r>
      <w:r>
        <w:t xml:space="preserve"> </w:t>
      </w:r>
      <w:r>
        <w:t xml:space="preserve">client, ce qu’est une marge, ou ce que contient réellement un fichier dont le nom annonce</w:t>
      </w:r>
      <w:r>
        <w:t xml:space="preserve"> </w:t>
      </w:r>
      <w:r>
        <w:t xml:space="preserve">autre chose. Structurer une donnée et la modéliser ne sont pas deux métiers successifs, mais</w:t>
      </w:r>
      <w:r>
        <w:t xml:space="preserve"> </w:t>
      </w:r>
      <w:r>
        <w:t xml:space="preserve">deux moments du même travail, et c’est le premier qui décide de ce que le second pourra en</w:t>
      </w:r>
      <w:r>
        <w:t xml:space="preserve"> </w:t>
      </w:r>
      <w:r>
        <w:t xml:space="preserve">tirer.</w:t>
      </w:r>
    </w:p>
    <w:bookmarkEnd w:id="185"/>
    <w:bookmarkStart w:id="192" w:name="bibliographie"/>
    <w:p>
      <w:pPr>
        <w:pStyle w:val="Heading1"/>
      </w:pPr>
      <w:r>
        <w:t xml:space="preserve">Bibliographie</w:t>
      </w:r>
    </w:p>
    <w:p>
      <w:pPr>
        <w:pStyle w:val="FirstParagraph"/>
      </w:pPr>
      <w:r>
        <w:t xml:space="preserve">[1] Michael Page. (2025).</w:t>
      </w:r>
      <w:r>
        <w:t xml:space="preserve"> </w:t>
      </w:r>
      <w:r>
        <w:rPr>
          <w:iCs/>
          <w:i/>
        </w:rPr>
        <w:t xml:space="preserve">Fiche métier : gestionnaire d’applications.</w:t>
      </w:r>
      <w:r>
        <w:t xml:space="preserve"> </w:t>
      </w:r>
      <w:r>
        <w:t xml:space="preserve">[En ligne]. Disponible</w:t>
      </w:r>
      <w:r>
        <w:t xml:space="preserve"> </w:t>
      </w:r>
      <w:r>
        <w:t xml:space="preserve">sur :</w:t>
      </w:r>
      <w:r>
        <w:t xml:space="preserve"> </w:t>
      </w:r>
      <w:hyperlink r:id="rId186">
        <w:r>
          <w:rPr>
            <w:rStyle w:val="Hyperlink"/>
          </w:rPr>
          <w:t xml:space="preserve">https://www.michaelpage.fr/advice/m%C3%A9tiers/syst%C3%A8mes-dinformation/fiche-m%C3%A9tier-gestionnaire-d%E2%80%99applications</w:t>
        </w:r>
      </w:hyperlink>
      <w:r>
        <w:t xml:space="preserve">.</w:t>
      </w:r>
    </w:p>
    <w:p>
      <w:pPr>
        <w:pStyle w:val="BodyText"/>
      </w:pPr>
      <w:r>
        <w:t xml:space="preserve">[2] Salvia Développement. (2025).</w:t>
      </w:r>
      <w:r>
        <w:t xml:space="preserve"> </w:t>
      </w:r>
      <w:r>
        <w:rPr>
          <w:iCs/>
          <w:i/>
        </w:rPr>
        <w:t xml:space="preserve">Site officiel de l’éditeur de la solution SPO et</w:t>
      </w:r>
      <w:r>
        <w:rPr>
          <w:iCs/>
          <w:i/>
        </w:rPr>
        <w:t xml:space="preserve"> </w:t>
      </w:r>
      <w:r>
        <w:rPr>
          <w:iCs/>
          <w:i/>
        </w:rPr>
        <w:t xml:space="preserve">documentation technique de son API.</w:t>
      </w:r>
      <w:r>
        <w:t xml:space="preserve"> </w:t>
      </w:r>
      <w:r>
        <w:t xml:space="preserve">[En ligne]. Disponible sur :</w:t>
      </w:r>
      <w:r>
        <w:t xml:space="preserve"> </w:t>
      </w:r>
      <w:hyperlink r:id="rId187">
        <w:r>
          <w:rPr>
            <w:rStyle w:val="Hyperlink"/>
          </w:rPr>
          <w:t xml:space="preserve">https://www.salviadeveloppement.fr/</w:t>
        </w:r>
      </w:hyperlink>
      <w:r>
        <w:t xml:space="preserve">.</w:t>
      </w:r>
    </w:p>
    <w:p>
      <w:pPr>
        <w:pStyle w:val="BodyText"/>
      </w:pPr>
      <w:r>
        <w:t xml:space="preserve">[3] Bryan, P. et Nottingham, M. (2013).</w:t>
      </w:r>
      <w:r>
        <w:t xml:space="preserve"> </w:t>
      </w:r>
      <w:r>
        <w:rPr>
          <w:iCs/>
          <w:i/>
        </w:rPr>
        <w:t xml:space="preserve">JavaScript Object Notation (JSON) Patch,</w:t>
      </w:r>
      <w:r>
        <w:t xml:space="preserve"> </w:t>
      </w:r>
      <w:r>
        <w:t xml:space="preserve">RFC 6902,</w:t>
      </w:r>
      <w:r>
        <w:t xml:space="preserve"> </w:t>
      </w:r>
      <w:r>
        <w:t xml:space="preserve">Internet Engineering Task Force. [En ligne]. Disponible sur :</w:t>
      </w:r>
      <w:r>
        <w:t xml:space="preserve"> </w:t>
      </w:r>
      <w:hyperlink r:id="rId188">
        <w:r>
          <w:rPr>
            <w:rStyle w:val="Hyperlink"/>
          </w:rPr>
          <w:t xml:space="preserve">https://www.rfc-editor.org/rfc/rfc6902</w:t>
        </w:r>
      </w:hyperlink>
      <w:r>
        <w:t xml:space="preserve">.</w:t>
      </w:r>
    </w:p>
    <w:p>
      <w:pPr>
        <w:pStyle w:val="BodyText"/>
      </w:pPr>
      <w:r>
        <w:t xml:space="preserve">[4] Banque centrale européenne.</w:t>
      </w:r>
      <w:r>
        <w:t xml:space="preserve"> </w:t>
      </w:r>
      <w:r>
        <w:rPr>
          <w:iCs/>
          <w:i/>
        </w:rPr>
        <w:t xml:space="preserve">Taux d’intérêt des crédits à l’habitat en France, série</w:t>
      </w:r>
      <w:r>
        <w:rPr>
          <w:iCs/>
          <w:i/>
        </w:rPr>
        <w:t xml:space="preserve"> </w:t>
      </w:r>
      <w:r>
        <w:rPr>
          <w:iCs/>
          <w:i/>
        </w:rPr>
        <w:t xml:space="preserve">mensuelle.</w:t>
      </w:r>
      <w:r>
        <w:t xml:space="preserve"> </w:t>
      </w:r>
      <w:r>
        <w:t xml:space="preserve">[En ligne]. Disponible sur :</w:t>
      </w:r>
      <w:r>
        <w:t xml:space="preserve"> </w:t>
      </w:r>
      <w:hyperlink r:id="rId189">
        <w:r>
          <w:rPr>
            <w:rStyle w:val="Hyperlink"/>
          </w:rPr>
          <w:t xml:space="preserve">https://data.ecb.europa.eu/</w:t>
        </w:r>
      </w:hyperlink>
      <w:r>
        <w:t xml:space="preserve">.</w:t>
      </w:r>
    </w:p>
    <w:p>
      <w:pPr>
        <w:pStyle w:val="BodyText"/>
      </w:pPr>
      <w:r>
        <w:t xml:space="preserve">[5] Eurostat.</w:t>
      </w:r>
      <w:r>
        <w:t xml:space="preserve"> </w:t>
      </w:r>
      <w:r>
        <w:rPr>
          <w:iCs/>
          <w:i/>
        </w:rPr>
        <w:t xml:space="preserve">Indicateur de confiance des ménages.</w:t>
      </w:r>
      <w:r>
        <w:t xml:space="preserve"> </w:t>
      </w:r>
      <w:r>
        <w:t xml:space="preserve">[En ligne]. Disponible sur :</w:t>
      </w:r>
      <w:r>
        <w:t xml:space="preserve"> </w:t>
      </w:r>
      <w:hyperlink r:id="rId190">
        <w:r>
          <w:rPr>
            <w:rStyle w:val="Hyperlink"/>
          </w:rPr>
          <w:t xml:space="preserve">https://ec.europa.eu/eurostat</w:t>
        </w:r>
      </w:hyperlink>
      <w:r>
        <w:t xml:space="preserve">.</w:t>
      </w:r>
    </w:p>
    <w:p>
      <w:pPr>
        <w:pStyle w:val="BodyText"/>
      </w:pPr>
      <w:r>
        <w:t xml:space="preserve">[6] Etalab.</w:t>
      </w:r>
      <w:r>
        <w:t xml:space="preserve"> </w:t>
      </w:r>
      <w:r>
        <w:rPr>
          <w:iCs/>
          <w:i/>
        </w:rPr>
        <w:t xml:space="preserve">API Découpage administratif, référentiel des communes françaises.</w:t>
      </w:r>
      <w:r>
        <w:t xml:space="preserve"> </w:t>
      </w:r>
      <w:r>
        <w:t xml:space="preserve">[En ligne].</w:t>
      </w:r>
      <w:r>
        <w:t xml:space="preserve"> </w:t>
      </w:r>
      <w:r>
        <w:t xml:space="preserve">Disponible sur :</w:t>
      </w:r>
      <w:r>
        <w:t xml:space="preserve"> </w:t>
      </w:r>
      <w:hyperlink r:id="rId191">
        <w:r>
          <w:rPr>
            <w:rStyle w:val="Hyperlink"/>
          </w:rPr>
          <w:t xml:space="preserve">https://geo.api.gouv.fr/</w:t>
        </w:r>
      </w:hyperlink>
      <w:r>
        <w:t xml:space="preserve">.</w:t>
      </w:r>
    </w:p>
    <w:bookmarkEnd w:id="1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8" Target="media/rId68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8" Target="media/rId88.png" /><Relationship Type="http://schemas.openxmlformats.org/officeDocument/2006/relationships/image" Id="rId95" Target="media/rId95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41" Target="media/rId141.png" /><Relationship Type="http://schemas.openxmlformats.org/officeDocument/2006/relationships/image" Id="rId144" Target="media/rId144.png" /><Relationship Type="http://schemas.openxmlformats.org/officeDocument/2006/relationships/image" Id="rId158" Target="media/rId158.png" /><Relationship Type="http://schemas.openxmlformats.org/officeDocument/2006/relationships/hyperlink" Id="rId189" Target="https://data.ecb.europa.eu/" TargetMode="External" /><Relationship Type="http://schemas.openxmlformats.org/officeDocument/2006/relationships/hyperlink" Id="rId190" Target="https://ec.europa.eu/eurostat" TargetMode="External" /><Relationship Type="http://schemas.openxmlformats.org/officeDocument/2006/relationships/hyperlink" Id="rId191" Target="https://geo.api.gouv.fr/" TargetMode="External" /><Relationship Type="http://schemas.openxmlformats.org/officeDocument/2006/relationships/hyperlink" Id="rId186" Target="https://www.michaelpage.fr/advice/m%C3%A9tiers/syst%C3%A8mes-dinformation/fiche-m%C3%A9tier-gestionnaire-d%E2%80%99applications" TargetMode="External" /><Relationship Type="http://schemas.openxmlformats.org/officeDocument/2006/relationships/hyperlink" Id="rId188" Target="https://www.rfc-editor.org/rfc/rfc6902" TargetMode="External" /><Relationship Type="http://schemas.openxmlformats.org/officeDocument/2006/relationships/hyperlink" Id="rId187" Target="https://www.salviadeveloppement.f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9" Target="https://data.ecb.europa.eu/" TargetMode="External" /><Relationship Type="http://schemas.openxmlformats.org/officeDocument/2006/relationships/hyperlink" Id="rId190" Target="https://ec.europa.eu/eurostat" TargetMode="External" /><Relationship Type="http://schemas.openxmlformats.org/officeDocument/2006/relationships/hyperlink" Id="rId191" Target="https://geo.api.gouv.fr/" TargetMode="External" /><Relationship Type="http://schemas.openxmlformats.org/officeDocument/2006/relationships/hyperlink" Id="rId186" Target="https://www.michaelpage.fr/advice/m%C3%A9tiers/syst%C3%A8mes-dinformation/fiche-m%C3%A9tier-gestionnaire-d%E2%80%99applications" TargetMode="External" /><Relationship Type="http://schemas.openxmlformats.org/officeDocument/2006/relationships/hyperlink" Id="rId188" Target="https://www.rfc-editor.org/rfc/rfc6902" TargetMode="External" /><Relationship Type="http://schemas.openxmlformats.org/officeDocument/2006/relationships/hyperlink" Id="rId187" Target="https://www.salviadeveloppement.f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 Data Engineering à la Data Science</dc:title>
  <dc:creator>Yasmina Saoud</dc:creator>
  <dc:language>fr</dc:language>
  <cp:keywords/>
  <dcterms:created xsi:type="dcterms:W3CDTF">2026-08-18T23:52:50Z</dcterms:created>
  <dcterms:modified xsi:type="dcterms:W3CDTF">2026-08-18T23:52:50Z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nnee">
    <vt:lpwstr>2025-2026</vt:lpwstr>
  </property>
  <property fmtid="{D5CDD505-2E9C-101B-9397-08002B2CF9AE}" pid="3" name="auteurmajuscule">
    <vt:lpwstr>SAOUD Yasmina</vt:lpwstr>
  </property>
  <property fmtid="{D5CDD505-2E9C-101B-9397-08002B2CF9AE}" pid="4" name="date">
    <vt:lpwstr/>
  </property>
  <property fmtid="{D5CDD505-2E9C-101B-9397-08002B2CF9AE}" pid="5" name="moissoutenance">
    <vt:lpwstr>Septembre 2026</vt:lpwstr>
  </property>
  <property fmtid="{D5CDD505-2E9C-101B-9397-08002B2CF9AE}" pid="6" name="motscles">
    <vt:lpwstr>Ingénierie des données, migration d’ERP, reprise de données, API, reporting, aide à la décision, machine learning, immobilier</vt:lpwstr>
  </property>
  <property fmtid="{D5CDD505-2E9C-101B-9397-08002B2CF9AE}" pid="7" name="output">
    <vt:lpwstr/>
  </property>
  <property fmtid="{D5CDD505-2E9C-101B-9397-08002B2CF9AE}" pid="8" name="pagedetitre">
    <vt:lpwstr>True</vt:lpwstr>
  </property>
  <property fmtid="{D5CDD505-2E9C-101B-9397-08002B2CF9AE}" pid="9" name="soustitre">
    <vt:lpwstr>Fiabiliser la donnée d’un promoteur-aménageur, puis la mettre au service de la décision</vt:lpwstr>
  </property>
  <property fmtid="{D5CDD505-2E9C-101B-9397-08002B2CF9AE}" pid="10" name="titrememoire">
    <vt:lpwstr>Du Data Engineering à la Data Science</vt:lpwstr>
  </property>
  <property fmtid="{D5CDD505-2E9C-101B-9397-08002B2CF9AE}" pid="11" name="tutriceentreprise">
    <vt:lpwstr>Mme Cruanas</vt:lpwstr>
  </property>
  <property fmtid="{D5CDD505-2E9C-101B-9397-08002B2CF9AE}" pid="12" name="tutriceuniversitaire">
    <vt:lpwstr>Mme Trottier</vt:lpwstr>
  </property>
</Properties>
</file>