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système historique vers le nouvel ERP du groupe, SPO. Cette mission prolonge</w:t>
      </w:r>
      <w:r>
        <w:t xml:space="preserve"> </w:t>
      </w:r>
      <w:r>
        <w:t xml:space="preserve">directement le chantier de migration exposé dans mon mémoire de mi-parcours, mais elle en</w:t>
      </w:r>
      <w:r>
        <w:t xml:space="preserve"> </w:t>
      </w:r>
      <w:r>
        <w:t xml:space="preserve">change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immobilières, de leurs tranches et de leurs budgets, il restait à reprendre les données</w:t>
      </w:r>
      <w:r>
        <w:t xml:space="preserve"> </w:t>
      </w:r>
      <w:r>
        <w:t xml:space="preserve">commerciales, et en premier lieu les clients. Dans SPO, ces clients sont désignés par le</w:t>
      </w:r>
      <w:r>
        <w:t xml:space="preserve"> </w:t>
      </w:r>
      <w:r>
        <w:t xml:space="preserve">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 acquéreur, une</w:t>
      </w:r>
      <w:r>
        <w:t xml:space="preserve"> </w:t>
      </w:r>
      <w:r>
        <w:t xml:space="preserve">société, un prescripteur ou un fournisseur,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d’une extraction de toutes les ventes enregistrées. Cette extraction comptait</w:t>
      </w:r>
      <w:r>
        <w:t xml:space="preserve"> </w:t>
      </w:r>
      <w:r>
        <w:rPr>
          <w:bCs/>
          <w:b/>
        </w:rPr>
        <w:t xml:space="preserve">1 602 lignes</w:t>
      </w:r>
      <w:r>
        <w:t xml:space="preserve">, auxquelles s’ajoutait une seconde extraction, réalisée avec MyReport</w:t>
      </w:r>
      <w:r>
        <w:t xml:space="preserve"> </w:t>
      </w:r>
      <w:r>
        <w:t xml:space="preserve">Builder, portant les coordonnées de contact des acquéreurs et de leurs co-acquéreurs :</w:t>
      </w:r>
      <w:r>
        <w:t xml:space="preserve"> </w:t>
      </w:r>
      <w:r>
        <w:t xml:space="preserve">adresses postales, courriels et numéros de téléphone.</w:t>
      </w:r>
    </w:p>
    <w:p>
      <w:pPr>
        <w:pStyle w:val="BodyText"/>
      </w:pPr>
      <w:r>
        <w:t xml:space="preserve">La difficulté n’était pas la volumétrie, qui reste modeste au regard des 283 opérations</w:t>
      </w:r>
      <w:r>
        <w:t xml:space="preserve"> </w:t>
      </w:r>
      <w:r>
        <w:t xml:space="preserve">traitées au premier semestre.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 acquéreur qui a</w:t>
      </w:r>
      <w:r>
        <w:t xml:space="preserve"> </w:t>
      </w:r>
      <w:r>
        <w:t xml:space="preserve">acheté trois lots apparaît donc trois fois, et rien dans le fichier ne le 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13 000 tiers y avaient déjà été créés, soit par des saisies manuelles réalisées par les</w:t>
      </w:r>
      <w:r>
        <w:t xml:space="preserve"> </w:t>
      </w:r>
      <w:r>
        <w:t xml:space="preserve">équipes commerciales depuis le démarrage de l’outil, soit par d’autres canaux d’alimentation.</w:t>
      </w:r>
      <w:r>
        <w:t xml:space="preserve"> </w:t>
      </w:r>
      <w:r>
        <w:t xml:space="preserve">Injecter mes 1 602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13 000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manière à ce que la décision d’importer ou non une ligne soit calculée et non prise au</w:t>
      </w:r>
      <w:r>
        <w:t xml:space="preserve"> </w:t>
      </w:r>
      <w:r>
        <w:t xml:space="preserve">cas par 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1 557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1 602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pour les tiers, les représentants, les adresses, les courriels, les téléphones et les rôles.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l’apport</w:t>
      </w:r>
      <w:r>
        <w:t xml:space="preserve"> </w:t>
      </w:r>
      <w:r>
        <w:t xml:space="preserve">méthodologique de ce travail, et ce sont eux qui font la différence entre un simple fichier</w:t>
      </w:r>
      <w:r>
        <w:t xml:space="preserve"> </w:t>
      </w:r>
      <w:r>
        <w:t xml:space="preserve">de mise en forme et un véritable outil de reprise.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que deux personnes</w:t>
      </w:r>
      <w:r>
        <w:t xml:space="preserve"> </w:t>
      </w:r>
      <w:r>
        <w:t xml:space="preserve">homonymes nées le même jour à la même adresse sont, en pratique, la même personne.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 du dossier de vente,</w:t>
      </w:r>
      <w:r>
        <w:t xml:space="preserve"> </w:t>
      </w:r>
      <w:r>
        <w:t xml:space="preserve">désigné ADV dans nos extractions, complétés du nom et du prénom du co-acquéreur, désigné</w:t>
      </w:r>
      <w:r>
        <w:t xml:space="preserve"> </w:t>
      </w:r>
      <w:r>
        <w:t xml:space="preserve">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 ; l’adresse ajoute une sécurité pour les cas</w:t>
      </w:r>
      <w:r>
        <w:t xml:space="preserve"> </w:t>
      </w:r>
      <w:r>
        <w:t xml:space="preserve">où elle n’est pas renseignée de façon fiable.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légal, il suffirait seul, mais il n’est pas toujours renseigné dans les données</w:t>
      </w:r>
      <w:r>
        <w:t xml:space="preserve"> </w:t>
      </w:r>
      <w:r>
        <w:t xml:space="preserve">historiques : la raison sociale prend alors le relais.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ce qui permet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 propriété du</w:t>
      </w:r>
      <w:r>
        <w:t xml:space="preserve"> </w:t>
      </w:r>
      <w:r>
        <w:t xml:space="preserve">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1 474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1 602 lignes</w:t>
      </w:r>
      <w:r>
        <w:t xml:space="preserve"> </w:t>
      </w:r>
      <w:r>
        <w:t xml:space="preserve">brutes issues de Vadimm, la déduplication interne en écarte 128 qui correspondent à des</w:t>
      </w:r>
      <w:r>
        <w:t xml:space="preserve"> </w:t>
      </w:r>
      <w:r>
        <w:t xml:space="preserve">achats répétés, ce qui ramène à 1 474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1 434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96045"/>
            <wp:effectExtent b="0" l="0" r="0" t="0"/>
            <wp:docPr descr="De 1 602 lignes brutes à 1 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9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1 602 lignes brutes à 1 434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dont</w:t>
      </w:r>
      <w:r>
        <w:t xml:space="preserve"> </w:t>
      </w:r>
      <w:r>
        <w:t xml:space="preserve">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1 434 lignes pour la liste</w:t>
      </w:r>
      <w:r>
        <w:t xml:space="preserve"> </w:t>
      </w:r>
      <w:r>
        <w:t xml:space="preserve">maîtresse des tiers et autant pour l’attribution du rôle « Client », mais 1 871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de la feuille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montrant côte à côte les colonnes de données reprises et les colonnes calculées : les trois</w:t>
      </w:r>
      <w:r>
        <w:rPr>
          <w:bCs/>
          <w:b/>
        </w:rPr>
        <w:t xml:space="preserve"> </w:t>
      </w:r>
      <w:r>
        <w:rPr>
          <w:bCs/>
          <w:b/>
        </w:rPr>
        <w:t xml:space="preserve">rangs de déduplication avec des valeurs 1 et 2 visibles, une ligne portant un code SPO dans</w:t>
      </w:r>
      <w:r>
        <w:rPr>
          <w:bCs/>
          <w:b/>
        </w:rPr>
        <w:t xml:space="preserve"> </w:t>
      </w:r>
      <w:r>
        <w:rPr>
          <w:bCs/>
          <w:b/>
        </w:rPr>
        <w:t xml:space="preserve">les colonnes de matching, et le panneau de contrôle avec ses compteurs. À insérer ici, avec</w:t>
      </w:r>
      <w:r>
        <w:rPr>
          <w:bCs/>
          <w:b/>
        </w:rPr>
        <w:t xml:space="preserve"> </w:t>
      </w:r>
      <w:r>
        <w:rPr>
          <w:bCs/>
          <w:b/>
        </w:rPr>
        <w:t xml:space="preserve">renumérotation des figures suivantes.]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qu’aucune documentation ne mentionnait et que j’ai</w:t>
      </w:r>
      <w:r>
        <w:t xml:space="preserve"> </w:t>
      </w:r>
      <w:r>
        <w:t xml:space="preserve">découvertes par rejets successifs.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</w:t>
      </w:r>
      <w:r>
        <w:t xml:space="preserve"> </w:t>
      </w:r>
      <w:r>
        <w:t xml:space="preserve">configuration attendue par l’outil d’import ; toute autre combinaison produit un fichier</w:t>
      </w:r>
      <w:r>
        <w:t xml:space="preserve"> </w:t>
      </w:r>
      <w:r>
        <w:t xml:space="preserve">lu comme une colonne unique.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se soit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laissaient les coordonnées de contact vides.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Trois options s’offraient à moi.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deuxième, demander à l’éditeur</w:t>
      </w:r>
      <w:r>
        <w:t xml:space="preserve"> </w:t>
      </w:r>
      <w:r>
        <w:t xml:space="preserve">une évolution du format d’import, était sans rapport avec les délais du projet. La</w:t>
      </w:r>
      <w:r>
        <w:t xml:space="preserve"> </w:t>
      </w:r>
      <w:r>
        <w:t xml:space="preserve">troisième consistait à passer par l’API de SPO, que j’avais déjà pratiquée pour la reprise</w:t>
      </w:r>
      <w:r>
        <w:t xml:space="preserve"> </w:t>
      </w:r>
      <w:r>
        <w:t xml:space="preserve">des budgets au premier semestre. C’est celle que j’ai 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dans le fichier de travail, par formules et</w:t>
      </w:r>
      <w:r>
        <w:t xml:space="preserve"> </w:t>
      </w:r>
      <w:r>
        <w:t xml:space="preserve">sur le même principe de numérotation séquentielle que les feuilles de sortie, le corps</w:t>
      </w:r>
      <w:r>
        <w:t xml:space="preserve"> </w:t>
      </w:r>
      <w:r>
        <w:t xml:space="preserve">de chaque requête à partir des coordonnées présentes dans la feuille des coordonnées.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 que j’utilisais déjà pour mes</w:t>
      </w:r>
      <w:r>
        <w:t xml:space="preserve"> </w:t>
      </w:r>
      <w:r>
        <w:t xml:space="preserve">essais unitaires.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</w:t>
      </w:r>
      <w:r>
        <w:t xml:space="preserve"> </w:t>
      </w:r>
      <w:r>
        <w:t xml:space="preserve">correspondant aux cinq fichiers d’import de couples, afin que l’ordre d’exécution suive</w:t>
      </w:r>
      <w:r>
        <w:t xml:space="preserve"> </w:t>
      </w:r>
      <w:r>
        <w:t xml:space="preserve">exactement l’ordre de création.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FirstParagraph"/>
      </w:pPr>
      <w:r>
        <w:rPr>
          <w:bCs/>
          <w:b/>
        </w:rPr>
        <w:t xml:space="preserve">[Emplacement réservé pour une figure — capture d’écran de la collection Postman :</w:t>
      </w:r>
      <w:r>
        <w:rPr>
          <w:bCs/>
          <w:b/>
        </w:rPr>
        <w:t xml:space="preserve"> </w:t>
      </w:r>
      <w:r>
        <w:rPr>
          <w:bCs/>
          <w:b/>
        </w:rPr>
        <w:t xml:space="preserve">arborescence des cinq lots et vue d’une requête PATCH sur son onglet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Body</w:t>
      </w:r>
      <w:r>
        <w:rPr>
          <w:bCs/>
          <w:b/>
        </w:rPr>
        <w:t xml:space="preserve">, montrant la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JSON Patch. Masquer l’adresse du serveur et les identifiants, comme sur la</w:t>
      </w:r>
      <w:r>
        <w:rPr>
          <w:bCs/>
          <w:b/>
        </w:rPr>
        <w:t xml:space="preserve"> </w:t>
      </w:r>
      <w:r>
        <w:rPr>
          <w:bCs/>
          <w:b/>
        </w:rPr>
        <w:t xml:space="preserve">Figure 1.2. À insérer ici, avec renumérotation des figures suivantes.]</w:t>
      </w:r>
    </w:p>
    <w:p>
      <w:pPr>
        <w:pStyle w:val="BodyText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ce projet m’a fait acquérir bien</w:t>
      </w:r>
      <w:r>
        <w:t xml:space="preserve"> </w:t>
      </w:r>
      <w:r>
        <w:t xml:space="preserve">plus que la précédente reprise.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de ces trois cas était en réalité déjà créé dans SPO par un autre canal, et il</w:t>
      </w:r>
      <w:r>
        <w:t xml:space="preserve"> </w:t>
      </w:r>
      <w:r>
        <w:t xml:space="preserve">a donc été retiré du fichier d’import.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1 434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1 602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1 434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 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1 434 tiers créés selon leur nature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d’une fiche de couple dans SPO,</w:t>
      </w:r>
      <w:r>
        <w:rPr>
          <w:bCs/>
          <w:b/>
        </w:rPr>
        <w:t xml:space="preserve"> </w:t>
      </w:r>
      <w:r>
        <w:rPr>
          <w:bCs/>
          <w:b/>
        </w:rPr>
        <w:t xml:space="preserve">onglet des représentants ouvert, montrant les deux personnes du couple et les coordonnées</w:t>
      </w:r>
      <w:r>
        <w:rPr>
          <w:bCs/>
          <w:b/>
        </w:rPr>
        <w:t xml:space="preserve"> </w:t>
      </w:r>
      <w:r>
        <w:rPr>
          <w:bCs/>
          <w:b/>
        </w:rPr>
        <w:t xml:space="preserve">ajoutées par requête PATCH sur l’une d’elles. Anonymiser les noms. À insérer ici.]</w:t>
      </w:r>
    </w:p>
    <w:p>
      <w:pPr>
        <w:pStyle w:val="BodyText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Trois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insérer une ligne au milieu de la feuille pivot ou de la feuille de coordonnées,</w:t>
      </w:r>
      <w:r>
        <w:t xml:space="preserve"> </w:t>
      </w:r>
      <w:r>
        <w:t xml:space="preserve">ce qui décale toutes les références ; et trier la feuille pivot, ce qui détruit la logique</w:t>
      </w:r>
      <w:r>
        <w:t xml:space="preserve"> </w:t>
      </w:r>
      <w:r>
        <w:t xml:space="preserve">de rang, celle-ci étant calculée de façon cumulative sur l’ordre des lignes. Aucune de ces</w:t>
      </w:r>
      <w:r>
        <w:t xml:space="preserve"> </w:t>
      </w:r>
      <w:r>
        <w:t xml:space="preserve">trois manipulations ne produit de message d’erreur, ce qui les rend d’autant plus</w:t>
      </w:r>
      <w:r>
        <w:t xml:space="preserve"> </w:t>
      </w:r>
      <w:r>
        <w:t xml:space="preserve">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ce qui produit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ce qui cassait</w:t>
      </w:r>
      <w:r>
        <w:t xml:space="preserve"> </w:t>
      </w:r>
      <w:r>
        <w:t xml:space="preserve">la 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disposais, et il</w:t>
      </w:r>
      <w:r>
        <w:t xml:space="preserve"> </w:t>
      </w:r>
      <w:r>
        <w:t xml:space="preserve">a effectivement révélé plusieurs anomalies que rien d’autre n’aurait signalées.</w:t>
      </w:r>
    </w:p>
    <w:p>
      <w:pPr>
        <w:pStyle w:val="BodyText"/>
      </w:pPr>
      <w:r>
        <w:t xml:space="preserve">Un dernier point de vigilance relève de la performance. Le fichier comporte environ 60 000</w:t>
      </w:r>
      <w:r>
        <w:t xml:space="preserve"> </w:t>
      </w:r>
      <w:r>
        <w:t xml:space="preserve">cellules de formules, ce qui rend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opérations, les tranches et les budgets migrés</w:t>
      </w:r>
      <w:r>
        <w:t xml:space="preserve"> </w:t>
      </w:r>
      <w:r>
        <w:t xml:space="preserve">au premier semestre, les 1 434 clients acquéreurs disposent désormais dans SPO d’une fiche</w:t>
      </w:r>
      <w:r>
        <w:t xml:space="preserve"> </w:t>
      </w:r>
      <w:r>
        <w:t xml:space="preserve">unique, correctement typée, dotée de ses coordonnées, de ses représentants et de son rôle.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Cependant, la donnée client est désormais</w:t>
      </w:r>
      <w:r>
        <w:t xml:space="preserve"> </w:t>
      </w:r>
      <w:r>
        <w:t xml:space="preserve">fiable, et c’est ce qui compte pour la suite.</w:t>
      </w:r>
    </w:p>
    <w:p>
      <w:pPr>
        <w:pStyle w:val="BodyText"/>
      </w:pPr>
      <w:r>
        <w:t xml:space="preserve">Ce chapitre aura montré, je l’espère, que la valeur de ce travail ne se mesure pas au</w:t>
      </w:r>
      <w:r>
        <w:t xml:space="preserve"> </w:t>
      </w:r>
      <w:r>
        <w:t xml:space="preserve">nombre de lignes importées. Elle tient d’abord au choix des trois clés d’unicité, qui</w:t>
      </w:r>
      <w:r>
        <w:t xml:space="preserve"> </w:t>
      </w:r>
      <w:r>
        <w:t xml:space="preserve">décide de ce qu’est un client dans notre référentiel ; ensuite à la capacité à contourner</w:t>
      </w:r>
      <w:r>
        <w:t xml:space="preserve"> </w:t>
      </w:r>
      <w:r>
        <w:t xml:space="preserve">une limite de format en changeant de porte d’entrée vers le système ; enfin à la</w:t>
      </w:r>
      <w:r>
        <w:t xml:space="preserve"> </w:t>
      </w:r>
      <w:r>
        <w:t xml:space="preserve">documentation des arbitrages, qui rend la reprise vérifiable par quelqu’un d’autre que</w:t>
      </w:r>
      <w:r>
        <w:t xml:space="preserve"> </w:t>
      </w:r>
      <w:r>
        <w:t xml:space="preserve">celle qui l’a faite. Ce sont trois compétences d’ingénierie des données, et non de saisie.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que ce socle a</w:t>
      </w:r>
      <w:r>
        <w:t xml:space="preserve"> </w:t>
      </w:r>
      <w:r>
        <w:t xml:space="preserve">rendu possible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2026-08-17T21:34:30Z</dcterms:created>
  <dcterms:modified xsi:type="dcterms:W3CDTF">2026-08-17T21:34:30Z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  <property fmtid="{D5CDD505-2E9C-101B-9397-08002B2CF9AE}" pid="4" name="output">
    <vt:lpwstr/>
  </property>
</Properties>
</file>