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8.png" ContentType="image/png"/>
  <Override PartName="/word/media/rId45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</w:t>
      </w:r>
      <w:r>
        <w:t xml:space="preserve"> </w:t>
      </w:r>
      <w:r>
        <w:t xml:space="preserve">Copilote</w:t>
      </w:r>
      <w:r>
        <w:t xml:space="preserve"> </w:t>
      </w:r>
      <w:r>
        <w:t xml:space="preserve">Financier</w:t>
      </w:r>
      <w:r>
        <w:t xml:space="preserve"> </w:t>
      </w:r>
      <w:r>
        <w:t xml:space="preserve">—</w:t>
      </w:r>
      <w:r>
        <w:t xml:space="preserve"> </w:t>
      </w:r>
      <w:r>
        <w:t xml:space="preserve">un</w:t>
      </w:r>
      <w:r>
        <w:t xml:space="preserve"> </w:t>
      </w:r>
      <w:r>
        <w:t xml:space="preserve">outil</w:t>
      </w:r>
      <w:r>
        <w:t xml:space="preserve"> </w:t>
      </w:r>
      <w:r>
        <w:t xml:space="preserve">d’aide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décision</w:t>
      </w:r>
      <w:r>
        <w:t xml:space="preserve"> </w:t>
      </w:r>
      <w:r>
        <w:t xml:space="preserve">pour</w:t>
      </w:r>
      <w:r>
        <w:t xml:space="preserve"> </w:t>
      </w:r>
      <w:r>
        <w:t xml:space="preserve">la</w:t>
      </w:r>
      <w:r>
        <w:t xml:space="preserve"> </w:t>
      </w:r>
      <w:r>
        <w:t xml:space="preserve">direction</w:t>
      </w:r>
      <w:r>
        <w:t xml:space="preserve"> </w:t>
      </w:r>
      <w:r>
        <w:t xml:space="preserve">financière</w:t>
      </w:r>
      <w:r>
        <w:t xml:space="preserve"> </w:t>
      </w:r>
      <w:r>
        <w:t xml:space="preserve">du</w:t>
      </w:r>
      <w:r>
        <w:t xml:space="preserve"> </w:t>
      </w:r>
      <w:r>
        <w:t xml:space="preserve">Groupe</w:t>
      </w:r>
      <w:r>
        <w:t xml:space="preserve"> </w:t>
      </w:r>
      <w:r>
        <w:t xml:space="preserve">Angelotti</w:t>
      </w:r>
    </w:p>
    <w:bookmarkStart w:id="94" w:name="le-copilote-financier"/>
    <w:p>
      <w:pPr>
        <w:pStyle w:val="Heading1"/>
      </w:pPr>
      <w:r>
        <w:t xml:space="preserve">Le Copilote Financier</w:t>
      </w:r>
    </w:p>
    <w:p>
      <w:pPr>
        <w:pStyle w:val="FirstParagraph"/>
      </w:pPr>
      <w:r>
        <w:t xml:space="preserve">Le mémoire de mi-parcours a détaillé la migration des données opérationnelles</w:t>
      </w:r>
      <w:r>
        <w:t xml:space="preserve"> </w:t>
      </w:r>
      <w:r>
        <w:t xml:space="preserve">vers l’ERP SPO : un travail de fiabilisation indispensable, mais qui a</w:t>
      </w:r>
      <w:r>
        <w:t xml:space="preserve"> </w:t>
      </w:r>
      <w:r>
        <w:t xml:space="preserve">mécaniquement reporté le lancement du projet de Data Science annoncé en</w:t>
      </w:r>
      <w:r>
        <w:t xml:space="preserve"> </w:t>
      </w:r>
      <w:r>
        <w:t xml:space="preserve">introduction. La fiabilisation achevée, ce chapitre présente ce second</w:t>
      </w:r>
      <w:r>
        <w:t xml:space="preserve"> </w:t>
      </w:r>
      <w:r>
        <w:t xml:space="preserve">projet, mené sur le second semestre : le</w:t>
      </w:r>
      <w:r>
        <w:t xml:space="preserve"> </w:t>
      </w:r>
      <w:r>
        <w:rPr>
          <w:bCs/>
          <w:b/>
        </w:rPr>
        <w:t xml:space="preserve">Copilote Financier</w:t>
      </w:r>
      <w:r>
        <w:t xml:space="preserve">, un outil</w:t>
      </w:r>
      <w:r>
        <w:t xml:space="preserve"> </w:t>
      </w:r>
      <w:r>
        <w:t xml:space="preserve">d’aide à la décision construit pour la direction financière du Groupe</w:t>
      </w:r>
      <w:r>
        <w:t xml:space="preserve"> </w:t>
      </w:r>
      <w:r>
        <w:t xml:space="preserve">Angelotti sur ses données de gestion réelles. J’y expose le problème métier</w:t>
      </w:r>
      <w:r>
        <w:t xml:space="preserve"> </w:t>
      </w:r>
      <w:r>
        <w:t xml:space="preserve">qui l’a motivé, les données mobilisées, l’architecture technique retenue, la</w:t>
      </w:r>
      <w:r>
        <w:t xml:space="preserve"> </w:t>
      </w:r>
      <w:r>
        <w:t xml:space="preserve">démarche et les résultats de chacun des sept notebooks qui la composent,</w:t>
      </w:r>
      <w:r>
        <w:t xml:space="preserve"> </w:t>
      </w:r>
      <w:r>
        <w:t xml:space="preserve">puis la plateforme qui restitue ce travail aux utilisateurs métier, avant</w:t>
      </w:r>
      <w:r>
        <w:t xml:space="preserve"> </w:t>
      </w:r>
      <w:r>
        <w:t xml:space="preserve">d’en assumer le périmètre et les limites.</w:t>
      </w:r>
    </w:p>
    <w:bookmarkStart w:id="23" w:name="contexte"/>
    <w:p>
      <w:pPr>
        <w:pStyle w:val="Heading2"/>
      </w:pPr>
      <w:r>
        <w:t xml:space="preserve">1. Contexte</w:t>
      </w:r>
    </w:p>
    <w:p>
      <w:pPr>
        <w:pStyle w:val="FirstParagraph"/>
      </w:pPr>
      <w:r>
        <w:t xml:space="preserve">Le Groupe Angelotti est un promoteur-aménageur immobilier implanté en</w:t>
      </w:r>
      <w:r>
        <w:t xml:space="preserve"> </w:t>
      </w:r>
      <w:r>
        <w:t xml:space="preserve">Occitanie et en région PACA (agences de Béziers, Montpellier, Toulouse,</w:t>
      </w:r>
      <w:r>
        <w:t xml:space="preserve"> </w:t>
      </w:r>
      <w:r>
        <w:t xml:space="preserve">Perpignan, Salon-de-Provence et Carcassonne, cette dernière en aménagement</w:t>
      </w:r>
      <w:r>
        <w:t xml:space="preserve"> </w:t>
      </w:r>
      <w:r>
        <w:t xml:space="preserve">uniquement), filiale du groupe Nexity. Son activité se</w:t>
      </w:r>
      <w:r>
        <w:t xml:space="preserve"> </w:t>
      </w:r>
      <w:r>
        <w:t xml:space="preserve">répartit en deux métiers : la</w:t>
      </w:r>
      <w:r>
        <w:t xml:space="preserve"> </w:t>
      </w:r>
      <w:r>
        <w:rPr>
          <w:bCs/>
          <w:b/>
        </w:rPr>
        <w:t xml:space="preserve">promotion immobilière</w:t>
      </w:r>
      <w:r>
        <w:t xml:space="preserve"> </w:t>
      </w:r>
      <w:r>
        <w:t xml:space="preserve">(concevoir,</w:t>
      </w:r>
      <w:r>
        <w:t xml:space="preserve"> </w:t>
      </w:r>
      <w:r>
        <w:t xml:space="preserve">construire et commercialiser des logements neufs) et l’</w:t>
      </w:r>
      <w:r>
        <w:rPr>
          <w:bCs/>
          <w:b/>
        </w:rPr>
        <w:t xml:space="preserve">aménagement</w:t>
      </w:r>
      <w:r>
        <w:rPr>
          <w:bCs/>
          <w:b/>
        </w:rPr>
        <w:t xml:space="preserve"> </w:t>
      </w:r>
      <w:r>
        <w:rPr>
          <w:bCs/>
          <w:b/>
        </w:rPr>
        <w:t xml:space="preserve">foncier</w:t>
      </w:r>
      <w:r>
        <w:t xml:space="preserve"> </w:t>
      </w:r>
      <w:r>
        <w:t xml:space="preserve">(diviser et viabiliser un terrain en lots à bâtir). Chaque</w:t>
      </w:r>
      <w:r>
        <w:t xml:space="preserve"> </w:t>
      </w:r>
      <w:r>
        <w:t xml:space="preserve">opération immobilière est portée par une SCCV dédiée : un budget</w:t>
      </w:r>
      <w:r>
        <w:t xml:space="preserve"> </w:t>
      </w:r>
      <w:r>
        <w:t xml:space="preserve">prévisionnel est posé à l’engagement (foncier, VRD, construction,</w:t>
      </w:r>
      <w:r>
        <w:t xml:space="preserve"> </w:t>
      </w:r>
      <w:r>
        <w:t xml:space="preserve">honoraires, commercialisation, en face de recettes attendues), puis la vie</w:t>
      </w:r>
      <w:r>
        <w:t xml:space="preserve"> </w:t>
      </w:r>
      <w:r>
        <w:t xml:space="preserve">de l’opération le fait dériver — appels d’offres plus chers que prévu,</w:t>
      </w:r>
      <w:r>
        <w:t xml:space="preserve"> </w:t>
      </w:r>
      <w:r>
        <w:t xml:space="preserve">rythme de vente plus lent qu’anticipé, désistements d’acquéreurs, remises</w:t>
      </w:r>
      <w:r>
        <w:t xml:space="preserve"> </w:t>
      </w:r>
      <w:r>
        <w:t xml:space="preserve">commerciales consenties au cas par cas. Cette dérive est aujourd’hui suivie</w:t>
      </w:r>
      <w:r>
        <w:t xml:space="preserve"> </w:t>
      </w:r>
      <w:r>
        <w:t xml:space="preserve">opération par opération, dans des tableaux Excel, sans vision statistique</w:t>
      </w:r>
      <w:r>
        <w:t xml:space="preserve"> </w:t>
      </w:r>
      <w:r>
        <w:t xml:space="preserve">transverse au portefeuille.</w:t>
      </w:r>
    </w:p>
    <w:bookmarkStart w:id="21" w:name="problème-métier"/>
    <w:p>
      <w:pPr>
        <w:pStyle w:val="Heading3"/>
      </w:pPr>
      <w:r>
        <w:t xml:space="preserve">1.1. Problème métier</w:t>
      </w:r>
    </w:p>
    <w:p>
      <w:pPr>
        <w:pStyle w:val="FirstParagraph"/>
      </w:pPr>
      <w:r>
        <w:t xml:space="preserve">Trois questions reviennent systématiquement en comité d’engagement et en</w:t>
      </w:r>
      <w:r>
        <w:t xml:space="preserve"> </w:t>
      </w:r>
      <w:r>
        <w:t xml:space="preserve">revue de gestion, et structurent le projet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Quelles opérations vont déraper financièrement ?</w:t>
      </w:r>
      <w:r>
        <w:t xml:space="preserve"> </w:t>
      </w:r>
      <w:r>
        <w:t xml:space="preserve">La marge budgétée à</w:t>
      </w:r>
      <w:r>
        <w:t xml:space="preserve"> </w:t>
      </w:r>
      <w:r>
        <w:t xml:space="preserve">l’engagement est-elle tenable, et peut-on détecter tôt les opérations à</w:t>
      </w:r>
      <w:r>
        <w:t xml:space="preserve"> </w:t>
      </w:r>
      <w:r>
        <w:t xml:space="preserve">risque, avant que la dérive ne soit actée en facturation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À quel rythme le stock va-t-il s’écouler ?</w:t>
      </w:r>
      <w:r>
        <w:t xml:space="preserve"> </w:t>
      </w:r>
      <w:r>
        <w:t xml:space="preserve">Le rythme de réservation</w:t>
      </w:r>
      <w:r>
        <w:t xml:space="preserve"> </w:t>
      </w:r>
      <w:r>
        <w:t xml:space="preserve">dépend du contexte macroéconomique — en premier lieu du taux des crédits</w:t>
      </w:r>
      <w:r>
        <w:t xml:space="preserve"> </w:t>
      </w:r>
      <w:r>
        <w:t xml:space="preserve">à l’habitat — de la localisation et du produit. La remontée des taux de</w:t>
      </w:r>
      <w:r>
        <w:t xml:space="preserve"> </w:t>
      </w:r>
      <w:r>
        <w:t xml:space="preserve">1,1 % (décembre 2021) à 3,6 % (décembre 2023), selon la série BCE utilisée</w:t>
      </w:r>
      <w:r>
        <w:t xml:space="preserve"> </w:t>
      </w:r>
      <w:r>
        <w:t xml:space="preserve">par le Copilote, a donné une illustration brutale de ce lien, avec un</w:t>
      </w:r>
      <w:r>
        <w:t xml:space="preserve"> </w:t>
      </w:r>
      <w:r>
        <w:t xml:space="preserve">effondrement visible du rythme de vente sur la même période.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À quel prix vendre chaque lot ?</w:t>
      </w:r>
      <w:r>
        <w:t xml:space="preserve"> </w:t>
      </w:r>
      <w:r>
        <w:t xml:space="preserve">Un lot trop cher reste en stock et</w:t>
      </w:r>
      <w:r>
        <w:t xml:space="preserve"> </w:t>
      </w:r>
      <w:r>
        <w:t xml:space="preserve">génère des frais financiers de portage ; un lot bradé érode la marge. Les</w:t>
      </w:r>
      <w:r>
        <w:t xml:space="preserve"> </w:t>
      </w:r>
      <w:r>
        <w:t xml:space="preserve">remises sont aujourd’hui accordées au cas par cas, sans règle explicite,</w:t>
      </w:r>
      <w:r>
        <w:t xml:space="preserve"> </w:t>
      </w:r>
      <w:r>
        <w:t xml:space="preserve">et ne sont pas corrélées au délai de vente effectivement constaté — signe</w:t>
      </w:r>
      <w:r>
        <w:t xml:space="preserve"> </w:t>
      </w:r>
      <w:r>
        <w:t xml:space="preserve">d’une politique de remise non pilotée.</w:t>
      </w:r>
    </w:p>
    <w:bookmarkStart w:id="20" w:name="Xcacbc28e4963aea1e7cfa59f0a47a06bee732ec"/>
    <w:p>
      <w:pPr>
        <w:pStyle w:val="Heading4"/>
      </w:pPr>
      <w:r>
        <w:t xml:space="preserve">1.1.1. Besoins par axe et exigences non fonctionnelles</w:t>
      </w:r>
    </w:p>
    <w:p>
      <w:pPr>
        <w:pStyle w:val="FirstParagraph"/>
      </w:pPr>
      <w:r>
        <w:t xml:space="preserve">J’ai formalisé ces trois questions avec les utilisateurs cibles — direction</w:t>
      </w:r>
      <w:r>
        <w:t xml:space="preserve"> </w:t>
      </w:r>
      <w:r>
        <w:t xml:space="preserve">financière (pilotage de la marge consolidée), responsables de programmes</w:t>
      </w:r>
      <w:r>
        <w:t xml:space="preserve"> </w:t>
      </w:r>
      <w:r>
        <w:t xml:space="preserve">(suivi de 5 à 10 opérations), direction commerciale (grilles de prix et</w:t>
      </w:r>
      <w:r>
        <w:t xml:space="preserve"> </w:t>
      </w:r>
      <w:r>
        <w:t xml:space="preserve">remises) et comité d’engagement (validation des budgets proposés) — en</w:t>
      </w:r>
      <w:r>
        <w:t xml:space="preserve"> </w:t>
      </w:r>
      <w:r>
        <w:t xml:space="preserve">besoins modélisables, par axe.</w:t>
      </w:r>
    </w:p>
    <w:p>
      <w:pPr>
        <w:pStyle w:val="BodyText"/>
      </w:pPr>
      <w:r>
        <w:rPr>
          <w:bCs/>
          <w:b/>
        </w:rPr>
        <w:t xml:space="preserve">Axe A — Risque de dérive de marge.</w:t>
      </w:r>
      <w:r>
        <w:t xml:space="preserve"> </w:t>
      </w:r>
      <w:r>
        <w:t xml:space="preserve">Le constat chiffré (notebook 03) est</w:t>
      </w:r>
      <w:r>
        <w:t xml:space="preserve"> </w:t>
      </w:r>
      <w:r>
        <w:t xml:space="preserve">que, sur les opérations suffisamment avancées, la moitié n’a aucun</w:t>
      </w:r>
      <w:r>
        <w:t xml:space="preserve"> </w:t>
      </w:r>
      <w:r>
        <w:t xml:space="preserve">dépassement engagé, mais qu’une part matérielle dérive au-delà du seuil</w:t>
      </w:r>
      <w:r>
        <w:t xml:space="preserve"> </w:t>
      </w:r>
      <w:r>
        <w:t xml:space="preserve">d’alerte, avec une concentration des dépassements sur les postes techniques</w:t>
      </w:r>
      <w:r>
        <w:t xml:space="preserve"> </w:t>
      </w:r>
      <w:r>
        <w:t xml:space="preserve">(construction, VRD) ; l’entreprise découvre aujourd’hui la dérive au moment</w:t>
      </w:r>
      <w:r>
        <w:t xml:space="preserve"> </w:t>
      </w:r>
      <w:r>
        <w:t xml:space="preserve">de la facturation, trop tard pour agir. J’en ai tiré trois besoins : un</w:t>
      </w:r>
      <w:r>
        <w:t xml:space="preserve"> </w:t>
      </w:r>
      <w:r>
        <w:t xml:space="preserve">score de risque par opération, mis à jour à chaque export de gestion</w:t>
      </w:r>
      <w:r>
        <w:t xml:space="preserve"> </w:t>
      </w:r>
      <w:r>
        <w:t xml:space="preserve">(B-A1) ; un classement des postes budgétaires qui expliquent la dérive, avec</w:t>
      </w:r>
      <w:r>
        <w:t xml:space="preserve"> </w:t>
      </w:r>
      <w:r>
        <w:t xml:space="preserve">une exigence d’interprétabilité — des coefficients, pas seulement une boîte</w:t>
      </w:r>
      <w:r>
        <w:t xml:space="preserve"> </w:t>
      </w:r>
      <w:r>
        <w:t xml:space="preserve">noire (B-A2) ; et une comparaison de chaque opération à ses « voisines » de</w:t>
      </w:r>
      <w:r>
        <w:t xml:space="preserve"> </w:t>
      </w:r>
      <w:r>
        <w:t xml:space="preserve">profil de coûts similaire, pour objectiver les revues de gestion (B-A3).</w:t>
      </w:r>
    </w:p>
    <w:p>
      <w:pPr>
        <w:pStyle w:val="BodyText"/>
      </w:pPr>
      <w:r>
        <w:rPr>
          <w:bCs/>
          <w:b/>
        </w:rPr>
        <w:t xml:space="preserve">Axe B — Vitesse d’écoulement.</w:t>
      </w:r>
      <w:r>
        <w:t xml:space="preserve"> </w:t>
      </w:r>
      <w:r>
        <w:t xml:space="preserve">Le rythme mensuel du groupe est passé</w:t>
      </w:r>
      <w:r>
        <w:t xml:space="preserve"> </w:t>
      </w:r>
      <w:r>
        <w:t xml:space="preserve">d’environ 150 réservations par mois en 2021-2022 à moins de 115 par mois en</w:t>
      </w:r>
      <w:r>
        <w:t xml:space="preserve"> </w:t>
      </w:r>
      <w:r>
        <w:t xml:space="preserve">2023, en pleine remontée des taux, sur un total de 14 428 réservations</w:t>
      </w:r>
      <w:r>
        <w:t xml:space="preserve"> </w:t>
      </w:r>
      <w:r>
        <w:t xml:space="preserve">enregistrées entre 2016 et 2026 ; 45 % des 2 157 désistements du portefeuille</w:t>
      </w:r>
      <w:r>
        <w:t xml:space="preserve"> </w:t>
      </w:r>
      <w:r>
        <w:t xml:space="preserve">tiennent à un problème de financement ou un refus de prêt. J’en ai tiré trois</w:t>
      </w:r>
      <w:r>
        <w:t xml:space="preserve"> </w:t>
      </w:r>
      <w:r>
        <w:t xml:space="preserve">besoins : une prévision du nombre de réservations par mois et par opération</w:t>
      </w:r>
      <w:r>
        <w:t xml:space="preserve"> </w:t>
      </w:r>
      <w:r>
        <w:t xml:space="preserve">sous scénarios de taux 2026 (B-B1) ; une décomposition de l’effet propre de</w:t>
      </w:r>
      <w:r>
        <w:t xml:space="preserve"> </w:t>
      </w:r>
      <w:r>
        <w:t xml:space="preserve">l’opération (localisation, produit, prix) et de l’effet de la conjoncture</w:t>
      </w:r>
      <w:r>
        <w:t xml:space="preserve"> </w:t>
      </w:r>
      <w:r>
        <w:t xml:space="preserve">(B-B2) ; et une estimation du délai d’écoulement complet d’un programme, pour</w:t>
      </w:r>
      <w:r>
        <w:t xml:space="preserve"> </w:t>
      </w:r>
      <w:r>
        <w:t xml:space="preserve">caler les échéanciers de trésorerie (B-B3).</w:t>
      </w:r>
    </w:p>
    <w:p>
      <w:pPr>
        <w:pStyle w:val="BodyText"/>
      </w:pPr>
      <w:r>
        <w:rPr>
          <w:bCs/>
          <w:b/>
        </w:rPr>
        <w:t xml:space="preserve">Axe C — Optimisation des prix.</w:t>
      </w:r>
      <w:r>
        <w:t xml:space="preserve"> </w:t>
      </w:r>
      <w:r>
        <w:t xml:space="preserve">Les prix au m² varient du simple au</w:t>
      </w:r>
      <w:r>
        <w:t xml:space="preserve"> </w:t>
      </w:r>
      <w:r>
        <w:t xml:space="preserve">triple au sein d’une même commune, et les remises commerciales, hétérogènes,</w:t>
      </w:r>
      <w:r>
        <w:t xml:space="preserve"> </w:t>
      </w:r>
      <w:r>
        <w:t xml:space="preserve">ne sont pas corrélées au délai de vente constaté. J’en ai tiré trois</w:t>
      </w:r>
      <w:r>
        <w:t xml:space="preserve"> </w:t>
      </w:r>
      <w:r>
        <w:t xml:space="preserve">besoins : un prix « de marché » attendu pour chaque lot compte tenu de ses</w:t>
      </w:r>
      <w:r>
        <w:t xml:space="preserve"> </w:t>
      </w:r>
      <w:r>
        <w:t xml:space="preserve">caractéristiques (B-C1) ; une recommandation d’ajustement du stock restant,</w:t>
      </w:r>
      <w:r>
        <w:t xml:space="preserve"> </w:t>
      </w:r>
      <w:r>
        <w:t xml:space="preserve">qui maximise le revenu attendu sous contrainte d’écoulement et de marge</w:t>
      </w:r>
      <w:r>
        <w:t xml:space="preserve"> </w:t>
      </w:r>
      <w:r>
        <w:t xml:space="preserve">minimale (B-C2) ; et un signalement des lots sur- ou sous-cotés par rapport</w:t>
      </w:r>
      <w:r>
        <w:t xml:space="preserve"> </w:t>
      </w:r>
      <w:r>
        <w:t xml:space="preserve">au modèle (B-C3).</w:t>
      </w:r>
    </w:p>
    <w:p>
      <w:pPr>
        <w:pStyle w:val="BodyText"/>
      </w:pPr>
      <w:r>
        <w:rPr>
          <w:bCs/>
          <w:b/>
        </w:rPr>
        <w:t xml:space="preserve">Axe transverse — Signaux faibles.</w:t>
      </w:r>
      <w:r>
        <w:t xml:space="preserve"> </w:t>
      </w:r>
      <w:r>
        <w:t xml:space="preserve">Les 9 688 commentaires libres de vente</w:t>
      </w:r>
      <w:r>
        <w:t xml:space="preserve"> </w:t>
      </w:r>
      <w:r>
        <w:t xml:space="preserve">et les motifs de désistement peuvent porter un signal précoce de risque</w:t>
      </w:r>
      <w:r>
        <w:t xml:space="preserve"> </w:t>
      </w:r>
      <w:r>
        <w:t xml:space="preserve">avant qu’il ne soit acté dans les champs structurés (B-T1) ; le réseau</w:t>
      </w:r>
      <w:r>
        <w:t xml:space="preserve"> </w:t>
      </w:r>
      <w:r>
        <w:t xml:space="preserve">vendeurs-opérations peut révéler des vendeurs pivots et des dépendances</w:t>
      </w:r>
      <w:r>
        <w:t xml:space="preserve"> </w:t>
      </w:r>
      <w:r>
        <w:t xml:space="preserve">commerciales à surveiller (B-T2).</w:t>
      </w:r>
    </w:p>
    <w:p>
      <w:pPr>
        <w:pStyle w:val="BodyText"/>
      </w:pPr>
      <w:r>
        <w:t xml:space="preserve">Quatre exigences non fonctionnelles ont cadré tout le projet, de la</w:t>
      </w:r>
      <w:r>
        <w:t xml:space="preserve"> </w:t>
      </w:r>
      <w:r>
        <w:t xml:space="preserve">préparation des données à la plateforme finale : la</w:t>
      </w:r>
      <w:r>
        <w:t xml:space="preserve"> </w:t>
      </w:r>
      <w:r>
        <w:rPr>
          <w:bCs/>
          <w:b/>
        </w:rPr>
        <w:t xml:space="preserve">reproductibilité</w:t>
      </w:r>
      <w:r>
        <w:t xml:space="preserve"> </w:t>
      </w:r>
      <w:r>
        <w:t xml:space="preserve">(tout se reconstruit depuis les exports bruts par un script, les notebooks</w:t>
      </w:r>
      <w:r>
        <w:t xml:space="preserve"> </w:t>
      </w:r>
      <w:r>
        <w:t xml:space="preserve">tournent sur Google Colab) ; l’</w:t>
      </w:r>
      <w:r>
        <w:rPr>
          <w:bCs/>
          <w:b/>
        </w:rPr>
        <w:t xml:space="preserve">interprétabilité</w:t>
      </w:r>
      <w:r>
        <w:t xml:space="preserve"> </w:t>
      </w:r>
      <w:r>
        <w:t xml:space="preserve">(chaque score affiché</w:t>
      </w:r>
      <w:r>
        <w:t xml:space="preserve"> </w:t>
      </w:r>
      <w:r>
        <w:t xml:space="preserve">est accompagné des variables qui le déterminent) ; la</w:t>
      </w:r>
      <w:r>
        <w:t xml:space="preserve"> </w:t>
      </w:r>
      <w:r>
        <w:rPr>
          <w:bCs/>
          <w:b/>
        </w:rPr>
        <w:t xml:space="preserve">confidentialité</w:t>
      </w:r>
      <w:r>
        <w:t xml:space="preserve"> </w:t>
      </w:r>
      <w:r>
        <w:t xml:space="preserve">(aucune donnée nominative de client — nom, date de naissance — n’est</w:t>
      </w:r>
      <w:r>
        <w:t xml:space="preserve"> </w:t>
      </w:r>
      <w:r>
        <w:t xml:space="preserve">affichée ni utilisée comme variable, seules des variables agrégées sont</w:t>
      </w:r>
      <w:r>
        <w:t xml:space="preserve"> </w:t>
      </w:r>
      <w:r>
        <w:t xml:space="preserve">dérivées) ; et un</w:t>
      </w:r>
      <w:r>
        <w:t xml:space="preserve"> </w:t>
      </w:r>
      <w:r>
        <w:rPr>
          <w:bCs/>
          <w:b/>
        </w:rPr>
        <w:t xml:space="preserve">petit échantillon assumé</w:t>
      </w:r>
      <w:r>
        <w:t xml:space="preserve"> </w:t>
      </w:r>
      <w:r>
        <w:t xml:space="preserve">(validation croisée</w:t>
      </w:r>
      <w:r>
        <w:t xml:space="preserve"> </w:t>
      </w:r>
      <w:r>
        <w:t xml:space="preserve">systématique, métriques rapportées avec leur dispersion, pas de deep</w:t>
      </w:r>
      <w:r>
        <w:t xml:space="preserve"> </w:t>
      </w:r>
      <w:r>
        <w:t xml:space="preserve">learning au-delà d’une démonstration pédagogique).</w:t>
      </w:r>
    </w:p>
    <w:bookmarkEnd w:id="20"/>
    <w:bookmarkEnd w:id="21"/>
    <w:bookmarkStart w:id="22" w:name="objectif-du-dashboard"/>
    <w:p>
      <w:pPr>
        <w:pStyle w:val="Heading3"/>
      </w:pPr>
      <w:r>
        <w:t xml:space="preserve">1.2. Objectif du dashboard</w:t>
      </w:r>
    </w:p>
    <w:p>
      <w:pPr>
        <w:pStyle w:val="FirstParagraph"/>
      </w:pPr>
      <w:r>
        <w:t xml:space="preserve">L’objectif est de construire, à partir des données de gestion réelles de</w:t>
      </w:r>
      <w:r>
        <w:t xml:space="preserve"> </w:t>
      </w:r>
      <w:r>
        <w:t xml:space="preserve">l’entreprise, un outil d’aide à la décision organisé en trois axes et un axe</w:t>
      </w:r>
      <w:r>
        <w:t xml:space="preserve"> </w:t>
      </w:r>
      <w:r>
        <w:t xml:space="preserve">transverse, résumés dans le tableau suivant.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modélisée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Familles de modèles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Risque de 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Quelles opérations dérapent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de variation de la marge (budget → réalisé) ; classe de 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Régression (OLS, Ridge, Lasso), classification (logistique, SVM, arbres, forêt)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Vitesse d’écoulement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Combien de réservations par mois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Réservations mensuelles par opération ; délai d’écoulement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à effets aléatoires (panel), régression à erreurs ARIMA, courbe logistique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Optimisation de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 prix pour quel lot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hédonique au m² ; ajustement sous contrainte de 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hédonique, optimisation sous contrainte (Lagrange)</w:t>
            </w:r>
          </w:p>
        </w:tc>
      </w:tr>
    </w:tbl>
    <w:p>
      <w:pPr>
        <w:pStyle w:val="BodyText"/>
      </w:pPr>
      <w:r>
        <w:t xml:space="preserve">Un axe transverse exploite les données textuelles et le réseau de</w:t>
      </w:r>
      <w:r>
        <w:t xml:space="preserve"> </w:t>
      </w:r>
      <w:r>
        <w:t xml:space="preserve">commercialisation pour enrichir la détection de risque des trois axes. Le</w:t>
      </w:r>
      <w:r>
        <w:t xml:space="preserve"> </w:t>
      </w:r>
      <w:r>
        <w:t xml:space="preserve">Copilote n’est pas conçu comme un exercice de démonstration technique : il</w:t>
      </w:r>
      <w:r>
        <w:t xml:space="preserve"> </w:t>
      </w:r>
      <w:r>
        <w:t xml:space="preserve">est adossé, du premier au dernier notebook, aux exports réels du système de</w:t>
      </w:r>
      <w:r>
        <w:t xml:space="preserve"> </w:t>
      </w:r>
      <w:r>
        <w:t xml:space="preserve">gestion du groupe, et débouche sur une plateforme Streamlit destinée à un</w:t>
      </w:r>
      <w:r>
        <w:t xml:space="preserve"> </w:t>
      </w:r>
      <w:r>
        <w:t xml:space="preserve">usage par la direction financière — c’est cette continuité entre la donnée</w:t>
      </w:r>
      <w:r>
        <w:t xml:space="preserve"> </w:t>
      </w:r>
      <w:r>
        <w:t xml:space="preserve">brute, la démarche statistique et la décision opérationnelle que ce chapitre</w:t>
      </w:r>
      <w:r>
        <w:t xml:space="preserve"> </w:t>
      </w:r>
      <w:r>
        <w:t xml:space="preserve">documente.</w:t>
      </w:r>
    </w:p>
    <w:bookmarkEnd w:id="22"/>
    <w:bookmarkEnd w:id="23"/>
    <w:bookmarkStart w:id="26" w:name="données-disponibles"/>
    <w:p>
      <w:pPr>
        <w:pStyle w:val="Heading2"/>
      </w:pPr>
      <w:r>
        <w:t xml:space="preserve">2. Données disponibles</w:t>
      </w:r>
    </w:p>
    <w:bookmarkStart w:id="24" w:name="données-internes"/>
    <w:p>
      <w:pPr>
        <w:pStyle w:val="Heading3"/>
      </w:pPr>
      <w:r>
        <w:t xml:space="preserve">2.1. Données internes</w:t>
      </w:r>
    </w:p>
    <w:p>
      <w:pPr>
        <w:pStyle w:val="FirstParagraph"/>
      </w:pPr>
      <w:r>
        <w:t xml:space="preserve">Le point de départ est constitué de quatre exports du système de gestion,</w:t>
      </w:r>
      <w:r>
        <w:t xml:space="preserve"> </w:t>
      </w:r>
      <w:r>
        <w:t xml:space="preserve">décrits dans</w:t>
      </w:r>
      <w:r>
        <w:t xml:space="preserve"> </w:t>
      </w:r>
      <w:r>
        <w:rPr>
          <w:rStyle w:val="VerbatimChar"/>
        </w:rPr>
        <w:t xml:space="preserve">docs/02_dictionnaire_donnees.md</w:t>
      </w:r>
      <w:r>
        <w:t xml:space="preserve"> </w:t>
      </w:r>
      <w:r>
        <w:t xml:space="preserve">: la Grille de Prix avec</w:t>
      </w:r>
      <w:r>
        <w:t xml:space="preserve"> </w:t>
      </w:r>
      <w:r>
        <w:t xml:space="preserve">Désistements (16 467 lignes au grain lot × dossier, 196 opérations), Budget &amp;</w:t>
      </w:r>
      <w:r>
        <w:t xml:space="preserve"> </w:t>
      </w:r>
      <w:r>
        <w:t xml:space="preserve">EFR (64 788 lignes de postes analytiques de niveau 3, 267 opérations),</w:t>
      </w:r>
      <w:r>
        <w:t xml:space="preserve"> </w:t>
      </w:r>
      <w:r>
        <w:t xml:space="preserve">A_DM_BUDGET_MONTANT_GESTION_LIVE (79 106 lignes, hiérarchie budgétaire</w:t>
      </w:r>
      <w:r>
        <w:t xml:space="preserve"> </w:t>
      </w:r>
      <w:r>
        <w:t xml:space="preserve">niveaux 0-3) et 06_Informations Lots (2 164 lignes).</w:t>
      </w:r>
    </w:p>
    <w:p>
      <w:pPr>
        <w:pStyle w:val="BodyText"/>
      </w:pPr>
      <w:r>
        <w:t xml:space="preserve">L’exploration de ces quatre fichiers a produit trois constats qui ont</w:t>
      </w:r>
      <w:r>
        <w:t xml:space="preserve"> </w:t>
      </w:r>
      <w:r>
        <w:t xml:space="preserve">directement conditionné le nettoyage. D’abord, « 06_Informations Lots » ne</w:t>
      </w:r>
      <w:r>
        <w:t xml:space="preserve"> </w:t>
      </w:r>
      <w:r>
        <w:t xml:space="preserve">contient</w:t>
      </w:r>
      <w:r>
        <w:t xml:space="preserve"> </w:t>
      </w:r>
      <w:r>
        <w:rPr>
          <w:bCs/>
          <w:b/>
        </w:rPr>
        <w:t xml:space="preserve">que</w:t>
      </w:r>
      <w:r>
        <w:t xml:space="preserve"> </w:t>
      </w:r>
      <w:r>
        <w:t xml:space="preserve">des dossiers désistés (2 157 « Désisté » et 7 « Résolution</w:t>
      </w:r>
      <w:r>
        <w:t xml:space="preserve"> </w:t>
      </w:r>
      <w:r>
        <w:t xml:space="preserve">de vente ») : ce n’est pas la table des lots annoncée par son nom, mais un</w:t>
      </w:r>
      <w:r>
        <w:t xml:space="preserve"> </w:t>
      </w:r>
      <w:r>
        <w:t xml:space="preserve">export de détail des désistements, porteur d’informations client absentes</w:t>
      </w:r>
      <w:r>
        <w:t xml:space="preserve"> </w:t>
      </w:r>
      <w:r>
        <w:t xml:space="preserve">ailleurs (nationalité, date de naissance, canal de vente, commission).</w:t>
      </w:r>
      <w:r>
        <w:t xml:space="preserve"> </w:t>
      </w:r>
      <w:r>
        <w:t xml:space="preserve">Ensuite, Budget &amp; EFR, malgré ses 65 000 lignes rondes qui pouvaient laisser</w:t>
      </w:r>
      <w:r>
        <w:t xml:space="preserve"> </w:t>
      </w:r>
      <w:r>
        <w:t xml:space="preserve">craindre une troncature d’export, s’est révélé complet : la réconciliation</w:t>
      </w:r>
      <w:r>
        <w:t xml:space="preserve"> </w:t>
      </w:r>
      <w:r>
        <w:t xml:space="preserve">avec le fichier LIVE, qui décrit la même donnée budgétaire sous une autre</w:t>
      </w:r>
      <w:r>
        <w:t xml:space="preserve"> </w:t>
      </w:r>
      <w:r>
        <w:t xml:space="preserve">forme, donne un écart médian</w:t>
      </w:r>
      <w:r>
        <w:t xml:space="preserve"> </w:t>
      </w:r>
      <w:r>
        <w:rPr>
          <w:bCs/>
          <w:b/>
        </w:rPr>
        <w:t xml:space="preserve">nul</w:t>
      </w:r>
      <w:r>
        <w:t xml:space="preserve"> </w:t>
      </w:r>
      <w:r>
        <w:t xml:space="preserve">sur les 118 opérations jointes par leur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GR_xxx</w:t>
      </w:r>
      <w:r>
        <w:t xml:space="preserve"> </w:t>
      </w:r>
      <w:r>
        <w:t xml:space="preserve">— j’ai donc conservé Budget &amp; EFR, dont les libellés de poste</w:t>
      </w:r>
      <w:r>
        <w:t xml:space="preserve"> </w:t>
      </w:r>
      <w:r>
        <w:t xml:space="preserve">sont hiérarchisés, et écarté le LIVE, redondant. Enfin, la Grille de Prix</w:t>
      </w:r>
      <w:r>
        <w:t xml:space="preserve"> </w:t>
      </w:r>
      <w:r>
        <w:t xml:space="preserve">est au grain lot × dossier : un lot désisté puis revendu y apparaît plusieurs</w:t>
      </w:r>
      <w:r>
        <w:t xml:space="preserve"> </w:t>
      </w:r>
      <w:r>
        <w:t xml:space="preserve">fois, ce qui a imposé de séparer, dans le nettoyage, une table</w:t>
      </w:r>
      <w:r>
        <w:t xml:space="preserve"> </w:t>
      </w:r>
      <w:r>
        <w:rPr>
          <w:rStyle w:val="VerbatimChar"/>
        </w:rPr>
        <w:t xml:space="preserve">lots</w:t>
      </w:r>
      <w:r>
        <w:t xml:space="preserve"> </w:t>
      </w:r>
      <w:r>
        <w:t xml:space="preserve">(état</w:t>
      </w:r>
      <w:r>
        <w:t xml:space="preserve"> </w:t>
      </w:r>
      <w:r>
        <w:t xml:space="preserve">physique du lot, dossier le plus récent) d’une table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 </w:t>
      </w:r>
      <w:r>
        <w:t xml:space="preserve">(chaque</w:t>
      </w:r>
      <w:r>
        <w:t xml:space="preserve"> </w:t>
      </w:r>
      <w:r>
        <w:t xml:space="preserve">événement commercial).</w:t>
      </w:r>
    </w:p>
    <w:p>
      <w:pPr>
        <w:pStyle w:val="BodyText"/>
      </w:pPr>
      <w:r>
        <w:t xml:space="preserve">Ces quatre exports sont transformés par</w:t>
      </w:r>
      <w:r>
        <w:t xml:space="preserve"> </w:t>
      </w:r>
      <w:r>
        <w:rPr>
          <w:rStyle w:val="VerbatimChar"/>
        </w:rPr>
        <w:t xml:space="preserve">src/nettoyage.py</w:t>
      </w:r>
      <w:r>
        <w:t xml:space="preserve"> </w:t>
      </w:r>
      <w:r>
        <w:t xml:space="preserve">en sept tables</w:t>
      </w:r>
      <w:r>
        <w:t xml:space="preserve"> </w:t>
      </w:r>
      <w:r>
        <w:t xml:space="preserve">propres, chargées dans la base SQLite</w:t>
      </w:r>
      <w:r>
        <w:t xml:space="preserve"> </w:t>
      </w:r>
      <w:r>
        <w:rPr>
          <w:rStyle w:val="VerbatimChar"/>
        </w:rPr>
        <w:t xml:space="preserve">data/copilote.db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src/base_sql.py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 </w:t>
      </w:r>
      <w:r>
        <w:t xml:space="preserve">(267 lignes),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(64 788 lignes),</w:t>
      </w:r>
      <w:r>
        <w:t xml:space="preserve"> </w:t>
      </w:r>
      <w:r>
        <w:rPr>
          <w:rStyle w:val="VerbatimChar"/>
        </w:rPr>
        <w:t xml:space="preserve">lots</w:t>
      </w:r>
      <w:r>
        <w:t xml:space="preserve"> </w:t>
      </w:r>
      <w:r>
        <w:t xml:space="preserve">(14 123 lignes),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 </w:t>
      </w:r>
      <w:r>
        <w:t xml:space="preserve">(14 428 lignes),</w:t>
      </w:r>
      <w:r>
        <w:t xml:space="preserve"> </w:t>
      </w:r>
      <w:r>
        <w:rPr>
          <w:rStyle w:val="VerbatimChar"/>
        </w:rPr>
        <w:t xml:space="preserve">desistements</w:t>
      </w:r>
      <w:r>
        <w:t xml:space="preserve"> </w:t>
      </w:r>
      <w:r>
        <w:t xml:space="preserve">(2 164</w:t>
      </w:r>
      <w:r>
        <w:t xml:space="preserve"> </w:t>
      </w:r>
      <w:r>
        <w:t xml:space="preserve">lignes), auxquelles s’ajoutent les deux tables de données externes,</w:t>
      </w:r>
      <w:r>
        <w:t xml:space="preserve"> </w:t>
      </w:r>
      <w:r>
        <w:rPr>
          <w:rStyle w:val="VerbatimChar"/>
        </w:rPr>
        <w:t xml:space="preserve">communes</w:t>
      </w:r>
      <w:r>
        <w:t xml:space="preserve"> </w:t>
      </w:r>
      <w:r>
        <w:t xml:space="preserve">(90 lignes) et</w:t>
      </w:r>
      <w:r>
        <w:t xml:space="preserve"> </w:t>
      </w:r>
      <w:r>
        <w:rPr>
          <w:rStyle w:val="VerbatimChar"/>
        </w:rPr>
        <w:t xml:space="preserve">conjoncture</w:t>
      </w:r>
      <w:r>
        <w:t xml:space="preserve"> </w:t>
      </w:r>
      <w:r>
        <w:t xml:space="preserve">(138 lignes). Le nettoyage a</w:t>
      </w:r>
      <w:r>
        <w:t xml:space="preserve"> </w:t>
      </w:r>
      <w:r>
        <w:t xml:space="preserve">harmonisé les libellés hétérogènes de nature de lot (</w:t>
      </w:r>
      <w:r>
        <w:rPr>
          <w:rStyle w:val="VerbatimChar"/>
        </w:rPr>
        <w:t xml:space="preserve">appt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Appartement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Parking extérieur</w:t>
      </w:r>
      <w:r>
        <w:t xml:space="preserve">… regroupés en huit familles)</w:t>
      </w:r>
      <w:r>
        <w:t xml:space="preserve"> </w:t>
      </w:r>
      <w:r>
        <w:t xml:space="preserve">et les doublons orthographiques de communes (91 orthographes ramenées à 90</w:t>
      </w:r>
      <w:r>
        <w:t xml:space="preserve"> </w:t>
      </w:r>
      <w:r>
        <w:t xml:space="preserve">communes, par exemple « LATOUR BAS ELNE » et « LATOUR-BAS-ELNE »), converti</w:t>
      </w:r>
      <w:r>
        <w:t xml:space="preserve"> </w:t>
      </w:r>
      <w:r>
        <w:t xml:space="preserve">en valeurs manquantes les surfaces et prix à 0 qui étaient en réalité des</w:t>
      </w:r>
      <w:r>
        <w:t xml:space="preserve"> </w:t>
      </w:r>
      <w:r>
        <w:t xml:space="preserve">valeurs sentinelles (stationnements et lots non déployés), et purgé les</w:t>
      </w:r>
      <w:r>
        <w:t xml:space="preserve"> </w:t>
      </w:r>
      <w:r>
        <w:t xml:space="preserve">retours chariot Excel (</w:t>
      </w:r>
      <w:r>
        <w:rPr>
          <w:rStyle w:val="VerbatimChar"/>
        </w:rPr>
        <w:t xml:space="preserve">_x000d_</w:t>
      </w:r>
      <w:r>
        <w:t xml:space="preserve">) laissés dans les commentaires de vente.</w:t>
      </w:r>
    </w:p>
    <w:bookmarkEnd w:id="24"/>
    <w:bookmarkStart w:id="25" w:name="données-externes"/>
    <w:p>
      <w:pPr>
        <w:pStyle w:val="Heading3"/>
      </w:pPr>
      <w:r>
        <w:t xml:space="preserve">2.2. Données externes</w:t>
      </w:r>
    </w:p>
    <w:p>
      <w:pPr>
        <w:pStyle w:val="FirstParagraph"/>
      </w:pPr>
      <w:r>
        <w:t xml:space="preserve">Trois sources publiques, ajoutées par des scripts rejouables plutôt que</w:t>
      </w:r>
      <w:r>
        <w:t xml:space="preserve"> </w:t>
      </w:r>
      <w:r>
        <w:t xml:space="preserve">recopiées à la main, complètent les données internes. Le</w:t>
      </w:r>
      <w:r>
        <w:t xml:space="preserve"> </w:t>
      </w:r>
      <w:r>
        <w:rPr>
          <w:bCs/>
          <w:b/>
        </w:rPr>
        <w:t xml:space="preserve">taux des crédits</w:t>
      </w:r>
      <w:r>
        <w:rPr>
          <w:bCs/>
          <w:b/>
        </w:rPr>
        <w:t xml:space="preserve"> </w:t>
      </w:r>
      <w:r>
        <w:rPr>
          <w:bCs/>
          <w:b/>
        </w:rPr>
        <w:t xml:space="preserve">à l’habitat en France</w:t>
      </w:r>
      <w:r>
        <w:t xml:space="preserve">, mensuel de 2015 à 2026, provient de la série BCE</w:t>
      </w:r>
      <w:r>
        <w:t xml:space="preserve"> </w:t>
      </w:r>
      <w:r>
        <w:rPr>
          <w:rStyle w:val="VerbatimChar"/>
        </w:rPr>
        <w:t xml:space="preserve">MIR.M.FR.B.A2C.AM.R.A.2250.EUR.N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data/externe/taux_credit_habitat_france.csv</w:t>
      </w:r>
      <w:r>
        <w:t xml:space="preserve">) ;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confiance des ménages en France</w:t>
      </w:r>
      <w:r>
        <w:t xml:space="preserve">, également mensuelle, provient de la</w:t>
      </w:r>
      <w:r>
        <w:t xml:space="preserve"> </w:t>
      </w:r>
      <w:r>
        <w:t xml:space="preserve">série Eurostat</w:t>
      </w:r>
      <w:r>
        <w:t xml:space="preserve"> </w:t>
      </w:r>
      <w:r>
        <w:rPr>
          <w:rStyle w:val="VerbatimChar"/>
        </w:rPr>
        <w:t xml:space="preserve">ei_bsco_m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data/externe/confiance_menages_france.csv</w:t>
      </w:r>
      <w:r>
        <w:t xml:space="preserve">) ;</w:t>
      </w:r>
      <w:r>
        <w:t xml:space="preserve"> </w:t>
      </w:r>
      <w:r>
        <w:t xml:space="preserve">ces deux séries sont les variables exogènes de l’axe B, dont le besoin</w:t>
      </w:r>
      <w:r>
        <w:t xml:space="preserve"> </w:t>
      </w:r>
      <w:r>
        <w:t xml:space="preserve">motive directement leur collecte — la remontée des taux de 2022-2023</w:t>
      </w:r>
      <w:r>
        <w:t xml:space="preserve"> </w:t>
      </w:r>
      <w:r>
        <w:t xml:space="preserve">coïncide avec la chute des réservations observée dans la grille. Le</w:t>
      </w:r>
      <w:r>
        <w:t xml:space="preserve"> </w:t>
      </w:r>
      <w:r>
        <w:rPr>
          <w:bCs/>
          <w:b/>
        </w:rPr>
        <w:t xml:space="preserve">référentiel des communes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data/externe/communes_geo.csv</w:t>
      </w:r>
      <w:r>
        <w:t xml:space="preserve">), enrichi</w:t>
      </w:r>
      <w:r>
        <w:t xml:space="preserve"> </w:t>
      </w:r>
      <w:r>
        <w:t xml:space="preserve">d’une distance au littoral calculée à partir des coordonnées de</w:t>
      </w:r>
      <w:r>
        <w:t xml:space="preserve"> </w:t>
      </w:r>
      <w:r>
        <w:t xml:space="preserve">geo.api.gouv.fr, fournit population, département et coordonnées pour les 90</w:t>
      </w:r>
      <w:r>
        <w:t xml:space="preserve"> </w:t>
      </w:r>
      <w:r>
        <w:t xml:space="preserve">communes du portefeuille, et sert de base à l’indicateur</w:t>
      </w:r>
      <w:r>
        <w:t xml:space="preserve"> </w:t>
      </w:r>
      <w:r>
        <w:rPr>
          <w:rStyle w:val="VerbatimChar"/>
        </w:rPr>
        <w:t xml:space="preserve">littoral</w:t>
      </w:r>
      <w:r>
        <w:t xml:space="preserve"> </w:t>
      </w:r>
      <w:r>
        <w:t xml:space="preserve">utilisé</w:t>
      </w:r>
      <w:r>
        <w:t xml:space="preserve"> </w:t>
      </w:r>
      <w:r>
        <w:t xml:space="preserve">comme variable hédonique dans l’axe C.</w:t>
      </w:r>
    </w:p>
    <w:bookmarkEnd w:id="25"/>
    <w:bookmarkEnd w:id="26"/>
    <w:bookmarkStart w:id="27" w:name="architecture-technique"/>
    <w:p>
      <w:pPr>
        <w:pStyle w:val="Heading2"/>
      </w:pPr>
      <w:r>
        <w:t xml:space="preserve">3. Architecture technique</w:t>
      </w:r>
    </w:p>
    <w:p>
      <w:pPr>
        <w:pStyle w:val="FirstParagraph"/>
      </w:pPr>
      <w:r>
        <w:t xml:space="preserve">Le pipeline qui transforme les exports bruts en base interrogeable, puis en</w:t>
      </w:r>
      <w:r>
        <w:t xml:space="preserve"> </w:t>
      </w:r>
      <w:r>
        <w:t xml:space="preserve">notebooks et en plateforme, est entièrement rejouable par script : aucune</w:t>
      </w:r>
      <w:r>
        <w:t xml:space="preserve"> </w:t>
      </w:r>
      <w:r>
        <w:t xml:space="preserve">retouche manuelle des fichiers n’intervient à aucune étape.</w:t>
      </w:r>
    </w:p>
    <w:p>
      <w:pPr>
        <w:pStyle w:val="SourceCode"/>
      </w:pPr>
      <w:r>
        <w:rPr>
          <w:rStyle w:val="VerbatimChar"/>
        </w:rPr>
        <w:t xml:space="preserve">donnéebrut/*.xlsx (4 exports)          data/externe/ (BCE, Eurostat, geo.api)</w:t>
      </w:r>
      <w:r>
        <w:br/>
      </w:r>
      <w:r>
        <w:rPr>
          <w:rStyle w:val="VerbatimChar"/>
        </w:rPr>
        <w:t xml:space="preserve">        │                                       │</w:t>
      </w:r>
      <w:r>
        <w:br/>
      </w:r>
      <w:r>
        <w:rPr>
          <w:rStyle w:val="VerbatimChar"/>
        </w:rPr>
        <w:t xml:space="preserve">        └────────────► src/nettoyage.py ◄───────┘</w:t>
      </w:r>
      <w:r>
        <w:br/>
      </w:r>
      <w:r>
        <w:rPr>
          <w:rStyle w:val="VerbatimChar"/>
        </w:rPr>
        <w:t xml:space="preserve">                        │   harmonisation, typage, dédoublonnage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src/base_sql.py ──► data/copilote.db (SQLite)</w:t>
      </w:r>
      <w:r>
        <w:br/>
      </w:r>
      <w:r>
        <w:rPr>
          <w:rStyle w:val="VerbatimChar"/>
        </w:rPr>
        <w:t xml:space="preserve">                                    7 tables + 3 vues SQL métier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▼                            ▼</w:t>
      </w:r>
      <w:r>
        <w:br/>
      </w:r>
      <w:r>
        <w:rPr>
          <w:rStyle w:val="VerbatimChar"/>
        </w:rPr>
        <w:t xml:space="preserve">  notebooks/       src/theme_viz.py             plateforme/app.py</w:t>
      </w:r>
      <w:r>
        <w:br/>
      </w:r>
      <w:r>
        <w:rPr>
          <w:rStyle w:val="VerbatimChar"/>
        </w:rPr>
        <w:t xml:space="preserve">  00 → 06          thème graphique commun       application Streamlit</w:t>
      </w:r>
      <w:r>
        <w:br/>
      </w:r>
      <w:r>
        <w:rPr>
          <w:rStyle w:val="VerbatimChar"/>
        </w:rPr>
        <w:t xml:space="preserve">  (démarche pas à                               (5 pages, modèles</w:t>
      </w:r>
      <w:r>
        <w:br/>
      </w:r>
      <w:r>
        <w:rPr>
          <w:rStyle w:val="VerbatimChar"/>
        </w:rPr>
        <w:t xml:space="preserve">   pas, exécutés)                                entraînés en cache)</w:t>
      </w:r>
    </w:p>
    <w:p>
      <w:pPr>
        <w:pStyle w:val="FirstParagraph"/>
      </w:pPr>
      <w:r>
        <w:t xml:space="preserve">Le schéma de la base suit une organisation</w:t>
      </w:r>
      <w:r>
        <w:t xml:space="preserve"> </w:t>
      </w:r>
      <w:r>
        <w:rPr>
          <w:bCs/>
          <w:b/>
        </w:rPr>
        <w:t xml:space="preserve">en étoile</w:t>
      </w:r>
      <w:r>
        <w:t xml:space="preserve"> </w:t>
      </w:r>
      <w:r>
        <w:t xml:space="preserve">: des tables de</w:t>
      </w:r>
      <w:r>
        <w:t xml:space="preserve"> </w:t>
      </w:r>
      <w:r>
        <w:t xml:space="preserve">faits au grain fin (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desistements</w:t>
      </w:r>
      <w:r>
        <w:t xml:space="preserve">) sont reliées</w:t>
      </w:r>
      <w:r>
        <w:t xml:space="preserve"> </w:t>
      </w:r>
      <w:r>
        <w:t xml:space="preserve">à des tables de dimensions (</w:t>
      </w:r>
      <w:r>
        <w:rPr>
          <w:rStyle w:val="VerbatimChar"/>
        </w:rPr>
        <w:t xml:space="preserve">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conjoncture</w:t>
      </w:r>
      <w:r>
        <w:t xml:space="preserve">) par des</w:t>
      </w:r>
      <w:r>
        <w:t xml:space="preserve"> </w:t>
      </w:r>
      <w:r>
        <w:t xml:space="preserve">clés simples —</w:t>
      </w:r>
      <w:r>
        <w:t xml:space="preserve"> </w:t>
      </w:r>
      <w:r>
        <w:rPr>
          <w:rStyle w:val="VerbatimChar"/>
        </w:rPr>
        <w:t xml:space="preserve">id_operation</w:t>
      </w:r>
      <w:r>
        <w:t xml:space="preserve"> </w:t>
      </w:r>
      <w:r>
        <w:t xml:space="preserve">relie toutes les tables internes,</w:t>
      </w:r>
      <w:r>
        <w:t xml:space="preserve"> </w:t>
      </w:r>
      <w:r>
        <w:rPr>
          <w:rStyle w:val="VerbatimChar"/>
        </w:rPr>
        <w:t xml:space="preserve">commune_norm</w:t>
      </w:r>
      <w:r>
        <w:t xml:space="preserve"> </w:t>
      </w:r>
      <w:r>
        <w:t xml:space="preserve">relie les opérations au référentiel externe, et le mois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 </w:t>
      </w:r>
      <w:r>
        <w:t xml:space="preserve">relie les ventes à la conjoncture macroéconomique. Trois vues SQL</w:t>
      </w:r>
      <w:r>
        <w:t xml:space="preserve"> </w:t>
      </w:r>
      <w:r>
        <w:t xml:space="preserve">métier, définies dans</w:t>
      </w:r>
      <w:r>
        <w:t xml:space="preserve"> </w:t>
      </w:r>
      <w:r>
        <w:rPr>
          <w:rStyle w:val="VerbatimChar"/>
        </w:rPr>
        <w:t xml:space="preserve">src/base_sql.py</w:t>
      </w:r>
      <w:r>
        <w:t xml:space="preserve">, fixent une source de vérité unique</w:t>
      </w:r>
      <w:r>
        <w:t xml:space="preserve"> </w:t>
      </w:r>
      <w:r>
        <w:t xml:space="preserve">pour chaque axe :</w:t>
      </w:r>
      <w:r>
        <w:t xml:space="preserve"> </w:t>
      </w:r>
      <w:r>
        <w:rPr>
          <w:rStyle w:val="VerbatimChar"/>
        </w:rPr>
        <w:t xml:space="preserve">v_marge_operation</w:t>
      </w:r>
      <w:r>
        <w:t xml:space="preserve"> </w:t>
      </w:r>
      <w:r>
        <w:t xml:space="preserve">(recettes, dépenses et taux</w:t>
      </w:r>
      <w:r>
        <w:t xml:space="preserve"> </w:t>
      </w:r>
      <w:r>
        <w:t xml:space="preserve">d’engagement par opération, socle de l’axe A),</w:t>
      </w:r>
      <w:r>
        <w:t xml:space="preserve"> </w:t>
      </w:r>
      <w:r>
        <w:rPr>
          <w:rStyle w:val="VerbatimChar"/>
        </w:rPr>
        <w:t xml:space="preserve">v_ecoulement_mensuel</w:t>
      </w:r>
      <w:r>
        <w:t xml:space="preserve"> </w:t>
      </w:r>
      <w:r>
        <w:t xml:space="preserve">(réservations et désistements par opération et par mois, socle de l’axe B)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v_stock_lots</w:t>
      </w:r>
      <w:r>
        <w:t xml:space="preserve"> </w:t>
      </w:r>
      <w:r>
        <w:t xml:space="preserve">(photo du stock par opération, socle de l’axe C). Encapsuler</w:t>
      </w:r>
      <w:r>
        <w:t xml:space="preserve"> </w:t>
      </w:r>
      <w:r>
        <w:t xml:space="preserve">ces calculs en SQL garantit que l’exploration, les notebooks de modélisation</w:t>
      </w:r>
      <w:r>
        <w:t xml:space="preserve"> </w:t>
      </w:r>
      <w:r>
        <w:t xml:space="preserve">et la plateforme partagent exactement la même définition de chaque</w:t>
      </w:r>
      <w:r>
        <w:t xml:space="preserve"> </w:t>
      </w:r>
      <w:r>
        <w:t xml:space="preserve">indicateur, plutôt que de la recopier — et potentiellement la faire diverger</w:t>
      </w:r>
      <w:r>
        <w:t xml:space="preserve"> </w:t>
      </w:r>
      <w:r>
        <w:t xml:space="preserve">— dans chaque fichier.</w:t>
      </w:r>
    </w:p>
    <w:p>
      <w:pPr>
        <w:pStyle w:val="BodyText"/>
      </w:pPr>
      <w:r>
        <w:t xml:space="preserve">Les sept notebooks (</w:t>
      </w:r>
      <w:r>
        <w:rPr>
          <w:rStyle w:val="VerbatimChar"/>
        </w:rPr>
        <w:t xml:space="preserve">00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06</w:t>
      </w:r>
      <w:r>
        <w:t xml:space="preserve">) sont commités</w:t>
      </w:r>
      <w:r>
        <w:t xml:space="preserve"> </w:t>
      </w:r>
      <w:r>
        <w:rPr>
          <w:bCs/>
          <w:b/>
        </w:rPr>
        <w:t xml:space="preserve">avec leurs sorties</w:t>
      </w:r>
      <w:r>
        <w:rPr>
          <w:bCs/>
          <w:b/>
        </w:rPr>
        <w:t xml:space="preserve"> </w:t>
      </w:r>
      <w:r>
        <w:rPr>
          <w:bCs/>
          <w:b/>
        </w:rPr>
        <w:t xml:space="preserve">exécutées</w:t>
      </w:r>
      <w:r>
        <w:t xml:space="preserve"> </w:t>
      </w:r>
      <w:r>
        <w:t xml:space="preserve">: chaque chiffre commenté dans ce chapitre correspond à une</w:t>
      </w:r>
      <w:r>
        <w:t xml:space="preserve"> </w:t>
      </w:r>
      <w:r>
        <w:t xml:space="preserve">cellule réellement exécutée, et non à une valeur recopiée d’un brouillon.</w:t>
      </w:r>
      <w:r>
        <w:t xml:space="preserve"> </w:t>
      </w:r>
      <w:r>
        <w:t xml:space="preserve">Chacun s’ouvre indifféremment sur Google Colab (sa première cellule clone le</w:t>
      </w:r>
      <w:r>
        <w:t xml:space="preserve"> </w:t>
      </w:r>
      <w:r>
        <w:t xml:space="preserve">dépôt et reconstruit la base) ou en local ; la commande</w:t>
      </w:r>
      <w:r>
        <w:t xml:space="preserve"> </w:t>
      </w:r>
      <w:r>
        <w:rPr>
          <w:rStyle w:val="VerbatimChar"/>
        </w:rPr>
        <w:t xml:space="preserve">python src/nb_specs/nbXX_*.py</w:t>
      </w:r>
      <w:r>
        <w:t xml:space="preserve"> </w:t>
      </w:r>
      <w:r>
        <w:t xml:space="preserve">régénère un notebook de bout en bout à partir</w:t>
      </w:r>
      <w:r>
        <w:t xml:space="preserve"> </w:t>
      </w:r>
      <w:r>
        <w:t xml:space="preserve">de sa spécification source dans</w:t>
      </w:r>
      <w:r>
        <w:t xml:space="preserve"> </w:t>
      </w:r>
      <w:r>
        <w:rPr>
          <w:rStyle w:val="VerbatimChar"/>
        </w:rPr>
        <w:t xml:space="preserve">src/nb_specs/</w:t>
      </w:r>
      <w:r>
        <w:t xml:space="preserve">, ce qui garantit que le</w:t>
      </w:r>
      <w:r>
        <w:t xml:space="preserve"> </w:t>
      </w:r>
      <w:r>
        <w:t xml:space="preserve">contenu commité correspond exactement au code source versionné. J’ai</w:t>
      </w:r>
      <w:r>
        <w:t xml:space="preserve"> </w:t>
      </w:r>
      <w:r>
        <w:t xml:space="preserve">vérifié, en préparant ce chapitre, que les sept notebooks s’exécutent</w:t>
      </w:r>
      <w:r>
        <w:t xml:space="preserve"> </w:t>
      </w:r>
      <w:r>
        <w:t xml:space="preserve">intégralement sans erreur et que les chiffres cités ci-après correspondent</w:t>
      </w:r>
      <w:r>
        <w:t xml:space="preserve"> </w:t>
      </w:r>
      <w:r>
        <w:t xml:space="preserve">aux sorties effectivement produites.</w:t>
      </w:r>
    </w:p>
    <w:bookmarkEnd w:id="27"/>
    <w:bookmarkStart w:id="76" w:name="notebooks-et-résultats"/>
    <w:p>
      <w:pPr>
        <w:pStyle w:val="Heading2"/>
      </w:pPr>
      <w:r>
        <w:t xml:space="preserve">4. Notebooks et résultats</w:t>
      </w:r>
    </w:p>
    <w:bookmarkStart w:id="34" w:name="X602394daec039ef4331b05e21f2ad099f555b11"/>
    <w:p>
      <w:pPr>
        <w:pStyle w:val="Heading3"/>
      </w:pPr>
      <w:r>
        <w:t xml:space="preserve">4.1. Exploration et nettoyage des données brutes</w:t>
      </w:r>
    </w:p>
    <w:p>
      <w:pPr>
        <w:pStyle w:val="FirstParagraph"/>
      </w:pPr>
      <w:r>
        <w:t xml:space="preserve">Le notebook</w:t>
      </w:r>
      <w:r>
        <w:t xml:space="preserve"> </w:t>
      </w:r>
      <w:r>
        <w:rPr>
          <w:rStyle w:val="VerbatimChar"/>
        </w:rPr>
        <w:t xml:space="preserve">00_exploration_donnees</w:t>
      </w:r>
      <w:r>
        <w:t xml:space="preserve"> </w:t>
      </w:r>
      <w:r>
        <w:t xml:space="preserve">applique la checklist du cours d’EDA</w:t>
      </w:r>
      <w:r>
        <w:t xml:space="preserve"> </w:t>
      </w:r>
      <w:r>
        <w:t xml:space="preserve">du master (comprendre le problème, qualité, analyse univariée, bivariée,</w:t>
      </w:r>
      <w:r>
        <w:t xml:space="preserve"> </w:t>
      </w:r>
      <w:r>
        <w:t xml:space="preserve">catégorielle, temporelle, valeurs manquantes, anti-fuite, synthèse) aux sept</w:t>
      </w:r>
      <w:r>
        <w:t xml:space="preserve"> </w:t>
      </w:r>
      <w:r>
        <w:t xml:space="preserve">tables de la base. Sur la variable centrale de l’axe C, le prix TTC au m²</w:t>
      </w:r>
      <w:r>
        <w:t xml:space="preserve"> </w:t>
      </w:r>
      <w:r>
        <w:t xml:space="preserve">des appartements (n = 5 137, hors valeurs nulles), la distribution brute est</w:t>
      </w:r>
      <w:r>
        <w:t xml:space="preserve"> </w:t>
      </w:r>
      <w:r>
        <w:t xml:space="preserve">fortement asymétrique à droite (asymétrie de 19,2) : quelques lots de</w:t>
      </w:r>
      <w:r>
        <w:t xml:space="preserve"> </w:t>
      </w:r>
      <w:r>
        <w:t xml:space="preserve">standing tirent la queue de la distribution, et un z-score calculé sur les</w:t>
      </w:r>
      <w:r>
        <w:t xml:space="preserve"> </w:t>
      </w:r>
      <w:r>
        <w:t xml:space="preserve">données brutes sur-détecte les valeurs aberrantes. Après transformation</w:t>
      </w:r>
      <w:r>
        <w:t xml:space="preserve"> </w:t>
      </w:r>
      <w:r>
        <w:t xml:space="preserve">logarithmique, l’asymétrie tombe à 0,39 et le diagramme quantile-quantile</w:t>
      </w:r>
      <w:r>
        <w:t xml:space="preserve"> </w:t>
      </w:r>
      <w:r>
        <w:t xml:space="preserve">devient quasi rectiligne (Figure 1) : l’hypothèse de normalité devient</w:t>
      </w:r>
      <w:r>
        <w:t xml:space="preserve"> </w:t>
      </w:r>
      <w:r>
        <w:t xml:space="preserve">tenable, ce qui a orienté le choix de modéliser le</w:t>
      </w:r>
      <w:r>
        <w:t xml:space="preserve"> </w:t>
      </w:r>
      <w:r>
        <w:rPr>
          <w:bCs/>
          <w:b/>
        </w:rPr>
        <w:t xml:space="preserve">log-prix</w:t>
      </w:r>
      <w:r>
        <w:t xml:space="preserve"> </w:t>
      </w:r>
      <w:r>
        <w:t xml:space="preserve">dans le</w:t>
      </w:r>
      <w:r>
        <w:t xml:space="preserve"> </w:t>
      </w:r>
      <w:r>
        <w:t xml:space="preserve">modèle hédonique du notebook 05. La détection d’outliers par IQR, appliquée</w:t>
      </w:r>
      <w:r>
        <w:t xml:space="preserve"> </w:t>
      </w:r>
      <w:r>
        <w:t xml:space="preserve">selon la convention exacte du cours, isole 30 lots (0,6 % de l’échantillon).</w:t>
      </w:r>
    </w:p>
    <w:p>
      <w:pPr>
        <w:pStyle w:val="CaptionedFigure"/>
      </w:pPr>
      <w:r>
        <w:drawing>
          <wp:inline>
            <wp:extent cx="5334000" cy="3374934"/>
            <wp:effectExtent b="0" l="0" r="0" t="0"/>
            <wp:docPr descr="Figure 1 — Distribution du prix au m² des appartements, brute puis log-transformée, avec diagrammes quantile-quantile associés (notebook 00)." title="" id="29" name="Picture"/>
            <a:graphic>
              <a:graphicData uri="http://schemas.openxmlformats.org/drawingml/2006/picture">
                <pic:pic>
                  <pic:nvPicPr>
                    <pic:cNvPr descr="figures_memoire/00_exploration_donnees_cell12_img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4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Distribution du prix au m² des appartements, brute puis log-transformée, avec diagrammes quantile-quantile associés (notebook 00).</w:t>
      </w:r>
    </w:p>
    <w:p>
      <w:pPr>
        <w:pStyle w:val="BodyText"/>
      </w:pPr>
      <w:r>
        <w:t xml:space="preserve">L’analyse des variables catégorielles par l’entropie (au sens du cours</w:t>
      </w:r>
      <w:r>
        <w:t xml:space="preserve"> </w:t>
      </w:r>
      <w:r>
        <w:t xml:space="preserve">d’arbres de décision) montre que</w:t>
      </w:r>
      <w:r>
        <w:t xml:space="preserve"> </w:t>
      </w:r>
      <w:r>
        <w:rPr>
          <w:rStyle w:val="VerbatimChar"/>
        </w:rPr>
        <w:t xml:space="preserve">nature_lot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agence</w:t>
      </w:r>
      <w:r>
        <w:t xml:space="preserve"> </w:t>
      </w:r>
      <w:r>
        <w:t xml:space="preserve">portent une</w:t>
      </w:r>
      <w:r>
        <w:t xml:space="preserve"> </w:t>
      </w:r>
      <w:r>
        <w:t xml:space="preserve">information équilibrée, tandis que</w:t>
      </w:r>
      <w:r>
        <w:t xml:space="preserve"> </w:t>
      </w:r>
      <w:r>
        <w:rPr>
          <w:rStyle w:val="VerbatimChar"/>
        </w:rPr>
        <w:t xml:space="preserve">motif_desistement</w:t>
      </w:r>
      <w:r>
        <w:t xml:space="preserve"> </w:t>
      </w:r>
      <w:r>
        <w:t xml:space="preserve">est concentré : 42 %</w:t>
      </w:r>
      <w:r>
        <w:t xml:space="preserve"> </w:t>
      </w:r>
      <w:r>
        <w:t xml:space="preserve">des désistements relèvent d’un seul motif dominant (financement), un</w:t>
      </w:r>
      <w:r>
        <w:t xml:space="preserve"> </w:t>
      </w:r>
      <w:r>
        <w:t xml:space="preserve">déséquilibre qui a orienté, au notebook 06, le choix du F1 par classe plutôt</w:t>
      </w:r>
      <w:r>
        <w:t xml:space="preserve"> </w:t>
      </w:r>
      <w:r>
        <w:t xml:space="preserve">que de l’exactitude comme métrique de classification.</w:t>
      </w:r>
    </w:p>
    <w:p>
      <w:pPr>
        <w:pStyle w:val="BodyText"/>
      </w:pPr>
      <w:r>
        <w:t xml:space="preserve">L’analyse bivariée temporelle a mis en évidence un piège méthodologique que</w:t>
      </w:r>
      <w:r>
        <w:t xml:space="preserve"> </w:t>
      </w:r>
      <w:r>
        <w:t xml:space="preserve">j’ai d’abord manqué avant de le corriger : la corrélation de Pearson brute</w:t>
      </w:r>
      <w:r>
        <w:t xml:space="preserve"> </w:t>
      </w:r>
      <w:r>
        <w:t xml:space="preserve">entre les réservations mensuelles du groupe et le taux des crédits habitat</w:t>
      </w:r>
      <w:r>
        <w:t xml:space="preserve"> </w:t>
      </w:r>
      <w:r>
        <w:t xml:space="preserve">est quasi nulle (r = +0,07), alors que le lien économique entre les deux est</w:t>
      </w:r>
      <w:r>
        <w:t xml:space="preserve"> </w:t>
      </w:r>
      <w:r>
        <w:t xml:space="preserve">avéré. J’avais initialement rédigé la conclusion attendue avant de vérifier</w:t>
      </w:r>
      <w:r>
        <w:t xml:space="preserve"> </w:t>
      </w:r>
      <w:r>
        <w:t xml:space="preserve">la sortie de la cellule ; le chiffre réel m’a contredite. L’explication tient</w:t>
      </w:r>
      <w:r>
        <w:t xml:space="preserve"> </w:t>
      </w:r>
      <w:r>
        <w:t xml:space="preserve">à la non-stationnarité de la série : le nombre d’opérations en</w:t>
      </w:r>
      <w:r>
        <w:t xml:space="preserve"> </w:t>
      </w:r>
      <w:r>
        <w:t xml:space="preserve">commercialisation a doublé sur la période, ce qui soutient mécaniquement le</w:t>
      </w:r>
      <w:r>
        <w:t xml:space="preserve"> </w:t>
      </w:r>
      <w:r>
        <w:t xml:space="preserve">volume de réservations même quand la demande par programme s’effondre —</w:t>
      </w:r>
      <w:r>
        <w:t xml:space="preserve"> </w:t>
      </w:r>
      <w:r>
        <w:t xml:space="preserve">exactement la mise en garde du cours de séries temporelles contre la</w:t>
      </w:r>
      <w:r>
        <w:t xml:space="preserve"> </w:t>
      </w:r>
      <w:r>
        <w:rPr>
          <w:iCs/>
          <w:i/>
        </w:rPr>
        <w:t xml:space="preserve">spurious regression</w:t>
      </w:r>
      <w:r>
        <w:t xml:space="preserve">. En neutralisant l’effet de portefeuille, c’est-à-dire</w:t>
      </w:r>
      <w:r>
        <w:t xml:space="preserve"> </w:t>
      </w:r>
      <w:r>
        <w:t xml:space="preserve">en travaillant sur l’</w:t>
      </w:r>
      <w:r>
        <w:rPr>
          <w:bCs/>
          <w:b/>
        </w:rPr>
        <w:t xml:space="preserve">intensité</w:t>
      </w:r>
      <w:r>
        <w:t xml:space="preserve"> </w:t>
      </w:r>
      <w:r>
        <w:t xml:space="preserve">de vente (réservations par opération</w:t>
      </w:r>
      <w:r>
        <w:t xml:space="preserve"> </w:t>
      </w:r>
      <w:r>
        <w:t xml:space="preserve">active), le lien macroéconomique apparaît nettement : r = −0,34 avec le taux</w:t>
      </w:r>
      <w:r>
        <w:t xml:space="preserve"> </w:t>
      </w:r>
      <w:r>
        <w:t xml:space="preserve">des crédits, r = +0,44 avec la confiance des ménages (Figure 2). Cette leçon</w:t>
      </w:r>
      <w:r>
        <w:t xml:space="preserve"> </w:t>
      </w:r>
      <w:r>
        <w:t xml:space="preserve">de méthode — une corrélation en niveaux peut masquer ou fabriquer une</w:t>
      </w:r>
      <w:r>
        <w:t xml:space="preserve"> </w:t>
      </w:r>
      <w:r>
        <w:t xml:space="preserve">relation sur données séquentielles — a directement structuré la démarche de</w:t>
      </w:r>
      <w:r>
        <w:t xml:space="preserve"> </w:t>
      </w:r>
      <w:r>
        <w:t xml:space="preserve">l’axe B, qui travaille sur séries transformées et contrôle l’effet</w:t>
      </w:r>
      <w:r>
        <w:t xml:space="preserve"> </w:t>
      </w:r>
      <w:r>
        <w:t xml:space="preserve">opération par un modèle à effets aléatoires plutôt que sur la série brute.</w:t>
      </w:r>
    </w:p>
    <w:p>
      <w:pPr>
        <w:pStyle w:val="CaptionedFigure"/>
      </w:pPr>
      <w:r>
        <w:drawing>
          <wp:inline>
            <wp:extent cx="5334000" cy="1616228"/>
            <wp:effectExtent b="0" l="0" r="0" t="0"/>
            <wp:docPr descr="Figure 2 — Intensité de vente par opération active, montrant l’apparition de l’effet de la remontée des taux de 2023 une fois l’effet de portefeuille neutralisé (notebook 00)." title="" id="32" name="Picture"/>
            <a:graphic>
              <a:graphicData uri="http://schemas.openxmlformats.org/drawingml/2006/picture">
                <pic:pic>
                  <pic:nvPicPr>
                    <pic:cNvPr descr="figures_memoire/00_exploration_donnees_cell24_img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Intensité de vente par opération active, montrant l’apparition de l’effet de la remontée des taux de 2023 une fois l’effet de portefeuille neutralisé (notebook 00).</w:t>
      </w:r>
    </w:p>
    <w:p>
      <w:pPr>
        <w:pStyle w:val="BodyText"/>
      </w:pPr>
      <w:r>
        <w:t xml:space="preserve">Enfin, la vérification anti-fuite (corrélation des variables candidates à la</w:t>
      </w:r>
      <w:r>
        <w:t xml:space="preserve"> </w:t>
      </w:r>
      <w:r>
        <w:t xml:space="preserve">cible provisoire de l’axe A) a confirmé que</w:t>
      </w:r>
      <w:r>
        <w:t xml:space="preserve"> </w:t>
      </w:r>
      <w:r>
        <w:rPr>
          <w:rStyle w:val="VerbatimChar"/>
        </w:rPr>
        <w:t xml:space="preserve">depenses_engagees</w:t>
      </w:r>
      <w:r>
        <w:t xml:space="preserve"> </w:t>
      </w:r>
      <w:r>
        <w:t xml:space="preserve">entre dans</w:t>
      </w:r>
      <w:r>
        <w:t xml:space="preserve"> </w:t>
      </w:r>
      <w:r>
        <w:t xml:space="preserve">la définition même de la cible de dérive de marge : cette variable, et plus</w:t>
      </w:r>
      <w:r>
        <w:t xml:space="preserve"> </w:t>
      </w:r>
      <w:r>
        <w:t xml:space="preserve">généralement tout ce qui relève du réalisé comptable, est exclue des</w:t>
      </w:r>
      <w:r>
        <w:t xml:space="preserve"> </w:t>
      </w:r>
      <w:r>
        <w:t xml:space="preserve">variables explicatives de l’axe A — seule la structure du budget initial y</w:t>
      </w:r>
      <w:r>
        <w:t xml:space="preserve"> </w:t>
      </w:r>
      <w:r>
        <w:t xml:space="preserve">est utilisée.</w:t>
      </w:r>
    </w:p>
    <w:bookmarkEnd w:id="34"/>
    <w:bookmarkStart w:id="41" w:name="sql-et-spark"/>
    <w:p>
      <w:pPr>
        <w:pStyle w:val="Heading3"/>
      </w:pPr>
      <w:r>
        <w:t xml:space="preserve">4.2. SQL et Spark</w:t>
      </w:r>
    </w:p>
    <w:p>
      <w:pPr>
        <w:pStyle w:val="FirstParagraph"/>
      </w:pPr>
      <w:r>
        <w:t xml:space="preserve">Le notebook</w:t>
      </w:r>
      <w:r>
        <w:t xml:space="preserve"> </w:t>
      </w:r>
      <w:r>
        <w:rPr>
          <w:rStyle w:val="VerbatimChar"/>
        </w:rPr>
        <w:t xml:space="preserve">01_preparation_sql_spark</w:t>
      </w:r>
      <w:r>
        <w:t xml:space="preserve"> </w:t>
      </w:r>
      <w:r>
        <w:t xml:space="preserve">documente la couche d’ingestion :</w:t>
      </w:r>
      <w:r>
        <w:t xml:space="preserve"> </w:t>
      </w:r>
      <w:r>
        <w:t xml:space="preserve">comment les quatre exports Excel deviennent la base SQL interrogeable, et</w:t>
      </w:r>
      <w:r>
        <w:t xml:space="preserve"> </w:t>
      </w:r>
      <w:r>
        <w:t xml:space="preserve">comment cette préparation passerait à l’échelle avec Apache Spark si la</w:t>
      </w:r>
      <w:r>
        <w:t xml:space="preserve"> </w:t>
      </w:r>
      <w:r>
        <w:t xml:space="preserve">volumétrie l’exigeait. Le catalogue</w:t>
      </w:r>
      <w:r>
        <w:t xml:space="preserve"> </w:t>
      </w:r>
      <w:r>
        <w:rPr>
          <w:rStyle w:val="VerbatimChar"/>
        </w:rPr>
        <w:t xml:space="preserve">sqlite_master</w:t>
      </w:r>
      <w:r>
        <w:t xml:space="preserve">, interrogeable en SQL,</w:t>
      </w:r>
      <w:r>
        <w:t xml:space="preserve"> </w:t>
      </w:r>
      <w:r>
        <w:t xml:space="preserve">confirme la présence des sept tables et des trois vues métier attendues.</w:t>
      </w:r>
    </w:p>
    <w:p>
      <w:pPr>
        <w:pStyle w:val="BodyText"/>
      </w:pPr>
      <w:r>
        <w:t xml:space="preserve">J’y déroule cinq requêtes de complexité croissante, chacune répondant à une</w:t>
      </w:r>
      <w:r>
        <w:t xml:space="preserve"> </w:t>
      </w:r>
      <w:r>
        <w:t xml:space="preserve">question métier réelle. La sélection-projection identifie les opérations en</w:t>
      </w:r>
      <w:r>
        <w:t xml:space="preserve"> </w:t>
      </w:r>
      <w:r>
        <w:t xml:space="preserve">cours à l’agence de Montpellier ; la jointure avec le référentiel des</w:t>
      </w:r>
      <w:r>
        <w:t xml:space="preserve"> </w:t>
      </w:r>
      <w:r>
        <w:t xml:space="preserve">communes fait ressortir les opérations en cours dans les plus grandes villes</w:t>
      </w:r>
      <w:r>
        <w:t xml:space="preserve"> </w:t>
      </w:r>
      <w:r>
        <w:t xml:space="preserve">(Toulouse, Montpellier) et introduit l’indicateur</w:t>
      </w:r>
      <w:r>
        <w:t xml:space="preserve"> </w:t>
      </w:r>
      <w:r>
        <w:rPr>
          <w:rStyle w:val="VerbatimChar"/>
        </w:rPr>
        <w:t xml:space="preserve">littoral</w:t>
      </w:r>
      <w:r>
        <w:t xml:space="preserve"> </w:t>
      </w:r>
      <w:r>
        <w:t xml:space="preserve">qui distingue</w:t>
      </w:r>
      <w:r>
        <w:t xml:space="preserve"> </w:t>
      </w:r>
      <w:r>
        <w:t xml:space="preserve">déjà deux marchés. L’agrégation avec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(filtrage avant</w:t>
      </w:r>
      <w:r>
        <w:t xml:space="preserve"> </w:t>
      </w:r>
      <w:r>
        <w:t xml:space="preserve">puis après agrégation) fait apparaître la concentration géographique du</w:t>
      </w:r>
      <w:r>
        <w:t xml:space="preserve"> </w:t>
      </w:r>
      <w:r>
        <w:t xml:space="preserve">portefeuille : Béziers, avec 31 opérations, et Canet-en-Roussillon dominent</w:t>
      </w:r>
      <w:r>
        <w:t xml:space="preserve"> </w:t>
      </w:r>
      <w:r>
        <w:t xml:space="preserve">le chiffre d’affaires budgété, et Le Cap d’Agde atteint 117,1 M€ avec</w:t>
      </w:r>
      <w:r>
        <w:t xml:space="preserve"> </w:t>
      </w:r>
      <w:r>
        <w:t xml:space="preserve">seulement 2 opérations — un poids concentré sur peu d’opérations, à</w:t>
      </w:r>
      <w:r>
        <w:t xml:space="preserve"> </w:t>
      </w:r>
      <w:r>
        <w:t xml:space="preserve">surveiller dans les modèles de l’axe A (Figure 3).</w:t>
      </w:r>
    </w:p>
    <w:p>
      <w:pPr>
        <w:pStyle w:val="CaptionedFigure"/>
      </w:pPr>
      <w:r>
        <w:drawing>
          <wp:inline>
            <wp:extent cx="5334000" cy="2451787"/>
            <wp:effectExtent b="0" l="0" r="0" t="0"/>
            <wp:docPr descr="Figure 3 — Communes du portefeuille dont le chiffre d’affaires budgété dépasse 50 M€, obtenues par une requête GROUP BY / HAVING (notebook 01)." title="" id="36" name="Picture"/>
            <a:graphic>
              <a:graphicData uri="http://schemas.openxmlformats.org/drawingml/2006/picture">
                <pic:pic>
                  <pic:nvPicPr>
                    <pic:cNvPr descr="figures_memoire/01_preparation_sql_spark_cell10_img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Communes du portefeuille dont le chiffre d’affaires budgété dépasse 50 M€, obtenues par une requête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(notebook 01).</w:t>
      </w:r>
    </w:p>
    <w:p>
      <w:pPr>
        <w:pStyle w:val="BodyText"/>
      </w:pPr>
      <w:r>
        <w:t xml:space="preserve">La vue</w:t>
      </w:r>
      <w:r>
        <w:t xml:space="preserve"> </w:t>
      </w:r>
      <w:r>
        <w:rPr>
          <w:rStyle w:val="VerbatimChar"/>
        </w:rPr>
        <w:t xml:space="preserve">v_marge_operation</w:t>
      </w:r>
      <w:r>
        <w:t xml:space="preserve">, affichée dans le notebook telle qu’elle est</w:t>
      </w:r>
      <w:r>
        <w:t xml:space="preserve"> </w:t>
      </w:r>
      <w:r>
        <w:t xml:space="preserve">stockée dans le catalogue de la base, pivote le sens comptable</w:t>
      </w:r>
      <w:r>
        <w:t xml:space="preserve"> </w:t>
      </w:r>
      <w:r>
        <w:t xml:space="preserve">Dépenses/Recettes par une agrégation conditionnelle</w:t>
      </w:r>
      <w:r>
        <w:t xml:space="preserve"> </w:t>
      </w:r>
      <w:r>
        <w:rPr>
          <w:rStyle w:val="VerbatimChar"/>
        </w:rPr>
        <w:t xml:space="preserve">SUM(CASE WHEN ... END)</w:t>
      </w:r>
      <w:r>
        <w:t xml:space="preserve"> </w:t>
      </w:r>
      <w:r>
        <w:t xml:space="preserve">et protège la division du taux d’engagement contre les budgets nuls : c’est</w:t>
      </w:r>
      <w:r>
        <w:t xml:space="preserve"> </w:t>
      </w:r>
      <w:r>
        <w:t xml:space="preserve">elle qui garantit que l’exploration, les modèles de l’axe A et la plateforme</w:t>
      </w:r>
      <w:r>
        <w:t xml:space="preserve"> </w:t>
      </w:r>
      <w:r>
        <w:t xml:space="preserve">partagent une définition unique de la marge. Une fonction fenêtre,</w:t>
      </w:r>
      <w:r>
        <w:t xml:space="preserve"> </w:t>
      </w:r>
      <w:r>
        <w:rPr>
          <w:rStyle w:val="VerbatimChar"/>
        </w:rPr>
        <w:t xml:space="preserve">SUM(nb_reservations) OVER (PARTITION BY id_operation ORDER BY mois)</w:t>
      </w:r>
      <w:r>
        <w:t xml:space="preserve">,</w:t>
      </w:r>
      <w:r>
        <w:t xml:space="preserve"> </w:t>
      </w:r>
      <w:r>
        <w:t xml:space="preserve">produit ensuite la courbe d’écoulement cumulée de chaque opération sans</w:t>
      </w:r>
      <w:r>
        <w:t xml:space="preserve"> </w:t>
      </w:r>
      <w:r>
        <w:t xml:space="preserve">réduire le grain des données : les quatre opérations les plus vendues du</w:t>
      </w:r>
      <w:r>
        <w:t xml:space="preserve"> </w:t>
      </w:r>
      <w:r>
        <w:t xml:space="preserve">portefeuille affichent des profils très différents, démarrages en flèche</w:t>
      </w:r>
      <w:r>
        <w:t xml:space="preserve"> </w:t>
      </w:r>
      <w:r>
        <w:t xml:space="preserve">contre montées lentes par paliers (Figure 4) — modéliser cette pente et sa</w:t>
      </w:r>
      <w:r>
        <w:t xml:space="preserve"> </w:t>
      </w:r>
      <w:r>
        <w:t xml:space="preserve">sensibilité à la conjoncture est précisément l’objet du notebook 04.</w:t>
      </w:r>
    </w:p>
    <w:p>
      <w:pPr>
        <w:pStyle w:val="CaptionedFigure"/>
      </w:pPr>
      <w:r>
        <w:drawing>
          <wp:inline>
            <wp:extent cx="5334000" cy="2003589"/>
            <wp:effectExtent b="0" l="0" r="0" t="0"/>
            <wp:docPr descr="Figure 4 — Courbes d’écoulement cumulées des quatre opérations les plus vendues, calculées par une fonction fenêtre SQL (notebook 01)." title="" id="39" name="Picture"/>
            <a:graphic>
              <a:graphicData uri="http://schemas.openxmlformats.org/drawingml/2006/picture">
                <pic:pic>
                  <pic:nvPicPr>
                    <pic:cNvPr descr="figures_memoire/01_preparation_sql_spark_cell16_img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Courbes d’écoulement cumulées des quatre opérations les plus vendues, calculées par une fonction fenêtre SQL (notebook 01).</w:t>
      </w:r>
    </w:p>
    <w:p>
      <w:pPr>
        <w:pStyle w:val="BodyText"/>
      </w:pPr>
      <w:r>
        <w:t xml:space="preserve">La seconde moitié du notebook reproduit cette même agrégation budgétaire en</w:t>
      </w:r>
      <w:r>
        <w:t xml:space="preserve"> </w:t>
      </w:r>
      <w:r>
        <w:rPr>
          <w:bCs/>
          <w:b/>
        </w:rPr>
        <w:t xml:space="preserve">PySpark</w:t>
      </w:r>
      <w:r>
        <w:t xml:space="preserve">, en mode local (Spark 4.1.2, quatre cœurs), pour illustrer le</w:t>
      </w:r>
      <w:r>
        <w:t xml:space="preserve"> </w:t>
      </w:r>
      <w:r>
        <w:t xml:space="preserve">paradigme MapReduce : évaluation paresseuse (les transformations ne</w:t>
      </w:r>
      <w:r>
        <w:t xml:space="preserve"> </w:t>
      </w:r>
      <w:r>
        <w:t xml:space="preserve">déclenchent aucun calcul tant qu’aucune action n’est exécutée), plan physique</w:t>
      </w:r>
      <w:r>
        <w:t xml:space="preserve"> </w:t>
      </w:r>
      <w:r>
        <w:t xml:space="preserve">explicite avec</w:t>
      </w:r>
      <w:r>
        <w:t xml:space="preserve"> </w:t>
      </w:r>
      <w:r>
        <w:rPr>
          <w:rStyle w:val="VerbatimChar"/>
        </w:rPr>
        <w:t xml:space="preserve">HashAggregate</w:t>
      </w:r>
      <w:r>
        <w:t xml:space="preserve"> </w:t>
      </w:r>
      <w:r>
        <w:t xml:space="preserve">partiel par partition puis</w:t>
      </w:r>
      <w:r>
        <w:t xml:space="preserve"> </w:t>
      </w:r>
      <w:r>
        <w:rPr>
          <w:rStyle w:val="VerbatimChar"/>
        </w:rPr>
        <w:t xml:space="preserve">Exchange</w:t>
      </w:r>
      <w:r>
        <w:t xml:space="preserve"> </w:t>
      </w:r>
      <w:r>
        <w:t xml:space="preserve">de</w:t>
      </w:r>
      <w:r>
        <w:t xml:space="preserve"> </w:t>
      </w:r>
      <w:r>
        <w:t xml:space="preserve">shuffle, et comptage de mots distribué sur les 64 788 libellés de postes</w:t>
      </w:r>
      <w:r>
        <w:t xml:space="preserve"> </w:t>
      </w:r>
      <w:r>
        <w:t xml:space="preserve">budgétaires (400 mots distincts, « honoraires » en tête avec 5 026</w:t>
      </w:r>
      <w:r>
        <w:t xml:space="preserve"> </w:t>
      </w:r>
      <w:r>
        <w:t xml:space="preserve">occurrences). Le contrôle croisé Spark contre SQLite tombe juste à l’euro</w:t>
      </w:r>
      <w:r>
        <w:t xml:space="preserve"> </w:t>
      </w:r>
      <w:r>
        <w:t xml:space="preserve">près (dépenses 1 561,8 M€, recettes 1 754,8 M€ dans les deux moteurs).</w:t>
      </w:r>
    </w:p>
    <w:p>
      <w:pPr>
        <w:pStyle w:val="BodyText"/>
      </w:pPr>
      <w:r>
        <w:t xml:space="preserve">La mesure honnête que j’ai voulu faire — chronométrer la même agrégation en</w:t>
      </w:r>
      <w:r>
        <w:t xml:space="preserve"> </w:t>
      </w:r>
      <w:r>
        <w:t xml:space="preserve">pandas et en Spark, sur les 64 788 lignes déjà en mémoire — donne un verdict</w:t>
      </w:r>
      <w:r>
        <w:t xml:space="preserve"> </w:t>
      </w:r>
      <w:r>
        <w:t xml:space="preserve">sans ambiguïté : pandas répond en 9,9 ms (meilleur temps sur cinq essais),</w:t>
      </w:r>
      <w:r>
        <w:t xml:space="preserve"> </w:t>
      </w:r>
      <w:r>
        <w:t xml:space="preserve">Spark en 577,4 ms (meilleur temps sur trois essais), soit un rapport</w:t>
      </w:r>
      <w:r>
        <w:t xml:space="preserve"> </w:t>
      </w:r>
      <w:r>
        <w:t xml:space="preserve">d’environ 58, sans même compter les 23,9 secondes de démarrage de la session</w:t>
      </w:r>
      <w:r>
        <w:t xml:space="preserve"> </w:t>
      </w:r>
      <w:r>
        <w:t xml:space="preserve">Spark et les 5,1 secondes de conversion pandas → Spark. Sur cette</w:t>
      </w:r>
      <w:r>
        <w:t xml:space="preserve"> </w:t>
      </w:r>
      <w:r>
        <w:t xml:space="preserve">volumétrie — quelques dizaines de mégaoctets, tenant largement en mémoire —</w:t>
      </w:r>
      <w:r>
        <w:t xml:space="preserve"> </w:t>
      </w:r>
      <w:r>
        <w:t xml:space="preserve">le coût fixe de la distribution (sérialisation Python-JVM, planification des</w:t>
      </w:r>
      <w:r>
        <w:t xml:space="preserve"> </w:t>
      </w:r>
      <w:r>
        <w:t xml:space="preserve">jobs, shuffle entre partitions) n’est amorti par aucun gain : Spark est</w:t>
      </w:r>
      <w:r>
        <w:t xml:space="preserve"> </w:t>
      </w:r>
      <w:r>
        <w:t xml:space="preserve">surdimensionné. La bonne architecture pour le Copilote aujourd’hui est</w:t>
      </w:r>
      <w:r>
        <w:t xml:space="preserve"> </w:t>
      </w:r>
      <w:r>
        <w:t xml:space="preserve">SQLite et pandas ; la démonstration Spark établit que le chemin de montée en</w:t>
      </w:r>
      <w:r>
        <w:t xml:space="preserve"> </w:t>
      </w:r>
      <w:r>
        <w:t xml:space="preserve">charge existe (mêmes requêtes en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/</w:t>
      </w:r>
      <w:r>
        <w:rPr>
          <w:rStyle w:val="VerbatimChar"/>
        </w:rPr>
        <w:t xml:space="preserve">pivot</w:t>
      </w:r>
      <w:r>
        <w:t xml:space="preserve">, plans optimisés par le</w:t>
      </w:r>
      <w:r>
        <w:t xml:space="preserve"> </w:t>
      </w:r>
      <w:r>
        <w:t xml:space="preserve">moteur) si la volumétrie change d’échelle — par exemple si le Copilote</w:t>
      </w:r>
      <w:r>
        <w:t xml:space="preserve"> </w:t>
      </w:r>
      <w:r>
        <w:t xml:space="preserve">devait un jour couvrir l’ensemble du groupe Nexity — sans en présenter le</w:t>
      </w:r>
      <w:r>
        <w:t xml:space="preserve"> </w:t>
      </w:r>
      <w:r>
        <w:t xml:space="preserve">bénéfice comme immédiat.</w:t>
      </w:r>
    </w:p>
    <w:bookmarkEnd w:id="41"/>
    <w:bookmarkStart w:id="51" w:name="axe-a"/>
    <w:p>
      <w:pPr>
        <w:pStyle w:val="Heading3"/>
      </w:pPr>
      <w:r>
        <w:t xml:space="preserve">4.3. Axe A</w:t>
      </w:r>
    </w:p>
    <w:p>
      <w:pPr>
        <w:pStyle w:val="FirstParagraph"/>
      </w:pPr>
      <w:r>
        <w:t xml:space="preserve">L’axe A répond à la première question métier : quelles opérations dérapent,</w:t>
      </w:r>
      <w:r>
        <w:t xml:space="preserve"> </w:t>
      </w:r>
      <w:r>
        <w:t xml:space="preserve">et pourquoi. Je l’ai construit en deux temps — une typologie des opérations</w:t>
      </w:r>
      <w:r>
        <w:t xml:space="preserve"> </w:t>
      </w:r>
      <w:r>
        <w:t xml:space="preserve">qui sert de comparateur (notebook 02), puis la prédiction proprement dite de</w:t>
      </w:r>
      <w:r>
        <w:t xml:space="preserve"> </w:t>
      </w:r>
      <w:r>
        <w:t xml:space="preserve">la dérive de marge (notebook 03).</w:t>
      </w:r>
    </w:p>
    <w:p>
      <w:pPr>
        <w:pStyle w:val="BodyText"/>
      </w:pPr>
      <w:r>
        <w:rPr>
          <w:bCs/>
          <w:b/>
        </w:rPr>
        <w:t xml:space="preserve">Typologie des opérations (notebook 02).</w:t>
      </w:r>
      <w:r>
        <w:t xml:space="preserve"> </w:t>
      </w:r>
      <w:r>
        <w:t xml:space="preserve">Comparer deux opérations de 2 M€</w:t>
      </w:r>
      <w:r>
        <w:t xml:space="preserve"> </w:t>
      </w:r>
      <w:r>
        <w:t xml:space="preserve">et de 50 M€ sur leurs montants n’a pas de sens : c’est la</w:t>
      </w:r>
      <w:r>
        <w:t xml:space="preserve"> </w:t>
      </w:r>
      <w:r>
        <w:rPr>
          <w:bCs/>
          <w:b/>
        </w:rPr>
        <w:t xml:space="preserve">structure</w:t>
      </w:r>
      <w:r>
        <w:t xml:space="preserve"> </w:t>
      </w:r>
      <w:r>
        <w:t xml:space="preserve">de</w:t>
      </w:r>
      <w:r>
        <w:t xml:space="preserve"> </w:t>
      </w:r>
      <w:r>
        <w:t xml:space="preserve">leur budget qui signe leur type. J’ai donc construit, pour 223 opérations</w:t>
      </w:r>
      <w:r>
        <w:t xml:space="preserve"> </w:t>
      </w:r>
      <w:r>
        <w:t xml:space="preserve">(sur 267, les 44 opérations embryonnaires — moins d’1 M€ de dépenses</w:t>
      </w:r>
      <w:r>
        <w:t xml:space="preserve"> </w:t>
      </w:r>
      <w:r>
        <w:t xml:space="preserve">budgétées — étant écartées car elles formaient des clusters singletons dans</w:t>
      </w:r>
      <w:r>
        <w:t xml:space="preserve"> </w:t>
      </w:r>
      <w:r>
        <w:t xml:space="preserve">les premiers essais), une matrice de profils de coûts : la part de chacun</w:t>
      </w:r>
      <w:r>
        <w:t xml:space="preserve"> </w:t>
      </w:r>
      <w:r>
        <w:t xml:space="preserve">des neuf postes de dépense de niveau 1 dans le budget total de l’opération,</w:t>
      </w:r>
      <w:r>
        <w:t xml:space="preserve"> </w:t>
      </w:r>
      <w:r>
        <w:t xml:space="preserve">standardisée poste par poste. Une ACP écrite à la main (valeurs et vecteurs</w:t>
      </w:r>
      <w:r>
        <w:t xml:space="preserve"> </w:t>
      </w:r>
      <w:r>
        <w:t xml:space="preserve">propres de la matrice de covariance, obtenus par résolution du problème de</w:t>
      </w:r>
      <w:r>
        <w:t xml:space="preserve"> </w:t>
      </w:r>
      <w:r>
        <w:t xml:space="preserve">maximisation de variance sous contrainte de norme via un multiplicateur de</w:t>
      </w:r>
      <w:r>
        <w:t xml:space="preserve"> </w:t>
      </w:r>
      <w:r>
        <w:t xml:space="preserve">Lagrange) montre que deux composantes résument 61 % de la variance des</w:t>
      </w:r>
      <w:r>
        <w:t xml:space="preserve"> </w:t>
      </w:r>
      <w:r>
        <w:t xml:space="preserve">profils (44,6 % puis 16,4 %) ; la vérification par SVD confirme cette</w:t>
      </w:r>
      <w:r>
        <w:t xml:space="preserve"> </w:t>
      </w:r>
      <w:r>
        <w:t xml:space="preserve">décomposition à 1,8 × 10⁻¹⁵ près. Le premier axe factoriel oppose sans</w:t>
      </w:r>
      <w:r>
        <w:t xml:space="preserve"> </w:t>
      </w:r>
      <w:r>
        <w:t xml:space="preserve">ambiguïté la promotion immobilière (construction, honoraires techniques) à</w:t>
      </w:r>
      <w:r>
        <w:t xml:space="preserve"> </w:t>
      </w:r>
      <w:r>
        <w:t xml:space="preserve">l’aménagement foncier (foncier, VRD, frais financiers).</w:t>
      </w:r>
    </w:p>
    <w:p>
      <w:pPr>
        <w:pStyle w:val="BodyText"/>
      </w:pPr>
      <w:r>
        <w:t xml:space="preserve">J’ai ensuite construit une typologie par K-moyennes (implémentation maison</w:t>
      </w:r>
      <w:r>
        <w:t xml:space="preserve"> </w:t>
      </w:r>
      <w:r>
        <w:t xml:space="preserve">de l’algorithme de Lloyd, vérifiée identique à</w:t>
      </w:r>
      <w:r>
        <w:t xml:space="preserve"> </w:t>
      </w:r>
      <w:r>
        <w:rPr>
          <w:rStyle w:val="VerbatimChar"/>
        </w:rPr>
        <w:t xml:space="preserve">sklearn.KMeans</w:t>
      </w:r>
      <w:r>
        <w:t xml:space="preserve"> </w:t>
      </w:r>
      <w:r>
        <w:t xml:space="preserve">à l’inertie</w:t>
      </w:r>
      <w:r>
        <w:t xml:space="preserve"> </w:t>
      </w:r>
      <w:r>
        <w:t xml:space="preserve">et à la partition près) et par classification ascendante hiérarchique</w:t>
      </w:r>
      <w:r>
        <w:t xml:space="preserve"> </w:t>
      </w:r>
      <w:r>
        <w:t xml:space="preserve">(distance de Ward), avec un accord fort entre les deux méthodes (indice de</w:t>
      </w:r>
      <w:r>
        <w:t xml:space="preserve"> </w:t>
      </w:r>
      <w:r>
        <w:t xml:space="preserve">Rand ajusté de 0,862). Les critères internes (coude, silhouette,</w:t>
      </w:r>
      <w:r>
        <w:t xml:space="preserve"> </w:t>
      </w:r>
      <w:r>
        <w:t xml:space="preserve">Davies-Bouldin) désignaient tous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mais cette partition ne fait que</w:t>
      </w:r>
      <w:r>
        <w:t xml:space="preserve"> </w:t>
      </w:r>
      <w:r>
        <w:t xml:space="preserve">redécouvrir la frontière entre promotion et aménagement, déjà lue sur le</w:t>
      </w:r>
      <w:r>
        <w:t xml:space="preserve"> </w:t>
      </w:r>
      <w:r>
        <w:t xml:space="preserve">premier axe de l’ACP — une validation, pas une information nouvelle. J’ai</w:t>
      </w:r>
      <w:r>
        <w:t xml:space="preserve"> </w:t>
      </w:r>
      <w:r>
        <w:t xml:space="preserve">retenu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, la granularité la plus fine où chaque groupe conserve un</w:t>
      </w:r>
      <w:r>
        <w:t xml:space="preserve"> </w:t>
      </w:r>
      <w:r>
        <w:t xml:space="preserve">effectif substantiel et une signature de coûts nettement distincte : c’est</w:t>
      </w:r>
      <w:r>
        <w:t xml:space="preserve"> </w:t>
      </w:r>
      <w:r>
        <w:t xml:space="preserve">l’arbitrage prévu par le cours entre critère interne et évaluation externe,</w:t>
      </w:r>
      <w:r>
        <w:t xml:space="preserve"> </w:t>
      </w:r>
      <w:r>
        <w:t xml:space="preserve">par l’expertise métier. Les quatre types — nommés d’après leur profil</w:t>
      </w:r>
      <w:r>
        <w:t xml:space="preserve"> </w:t>
      </w:r>
      <w:r>
        <w:t xml:space="preserve">dominant et validés par des variables externes à la construction de la</w:t>
      </w:r>
      <w:r>
        <w:t xml:space="preserve"> </w:t>
      </w:r>
      <w:r>
        <w:t xml:space="preserve">typologie (marge, désistement, littoral) — sont le résidentiel classique</w:t>
      </w:r>
      <w:r>
        <w:t xml:space="preserve"> </w:t>
      </w:r>
      <w:r>
        <w:t xml:space="preserve">(116 opérations, construction 58 %, marge relative médiane +8,2 %, mais le</w:t>
      </w:r>
      <w:r>
        <w:t xml:space="preserve"> </w:t>
      </w:r>
      <w:r>
        <w:t xml:space="preserve">taux de désistement le plus élevé à 12 %), l’aménagement foncier (61</w:t>
      </w:r>
      <w:r>
        <w:t xml:space="preserve"> </w:t>
      </w:r>
      <w:r>
        <w:t xml:space="preserve">opérations, foncier 39 % et VRD 33 %, marge +13,2 %, désistements quasi nuls</w:t>
      </w:r>
      <w:r>
        <w:t xml:space="preserve"> </w:t>
      </w:r>
      <w:r>
        <w:t xml:space="preserve">à 1,1 %), la promotion sur foncier allégé (27 opérations, construction 57 %</w:t>
      </w:r>
      <w:r>
        <w:t xml:space="preserve"> </w:t>
      </w:r>
      <w:r>
        <w:t xml:space="preserve">mais foncier réduit à 9 %, marge la plus mince à +7,0 %) et l’aménagement</w:t>
      </w:r>
      <w:r>
        <w:t xml:space="preserve"> </w:t>
      </w:r>
      <w:r>
        <w:t xml:space="preserve">lourd VRD et taxes (19 opérations, 38 % en zone littorale contre 9 % pour</w:t>
      </w:r>
      <w:r>
        <w:t xml:space="preserve"> </w:t>
      </w:r>
      <w:r>
        <w:t xml:space="preserve">l’aménagement courant, marge la plus confortable à +14,4 %) (Figure 5).</w:t>
      </w:r>
    </w:p>
    <w:p>
      <w:pPr>
        <w:pStyle w:val="CaptionedFigure"/>
      </w:pPr>
      <w:r>
        <w:drawing>
          <wp:inline>
            <wp:extent cx="5334000" cy="3324859"/>
            <wp:effectExtent b="0" l="0" r="0" t="0"/>
            <wp:docPr descr="Figure 5 — Profil de coûts moyen des quatre types d’opérations identifiés par K-moyennes, validés par des variables externes à la classification (notebook 02)." title="" id="43" name="Picture"/>
            <a:graphic>
              <a:graphicData uri="http://schemas.openxmlformats.org/drawingml/2006/picture">
                <pic:pic>
                  <pic:nvPicPr>
                    <pic:cNvPr descr="figures_memoire/02_analyse_multidimensionnelle_cell29_img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Profil de coûts moyen des quatre types d’opérations identifiés par K-moyennes, validés par des variables externes à la classification (notebook 02).</w:t>
      </w:r>
    </w:p>
    <w:p>
      <w:pPr>
        <w:pStyle w:val="BodyText"/>
      </w:pPr>
      <w:r>
        <w:t xml:space="preserve">Cette typologie répond directement au besoin B-A3 : la similarité cosinus</w:t>
      </w:r>
      <w:r>
        <w:t xml:space="preserve"> </w:t>
      </w:r>
      <w:r>
        <w:t xml:space="preserve">entre profils standardisés fournit, pour toute opération, ses voisines de</w:t>
      </w:r>
      <w:r>
        <w:t xml:space="preserve"> </w:t>
      </w:r>
      <w:r>
        <w:t xml:space="preserve">structure de coûts comparable. Sur l’opération Le Parc des Cyclades (marge</w:t>
      </w:r>
      <w:r>
        <w:t xml:space="preserve"> </w:t>
      </w:r>
      <w:r>
        <w:t xml:space="preserve">budgétée +6,5 %), ses cinq voisines les plus proches (cosinus ≥ 0,945)</w:t>
      </w:r>
      <w:r>
        <w:t xml:space="preserve"> </w:t>
      </w:r>
      <w:r>
        <w:t xml:space="preserve">affichent des marges de +7,9 % à +11,3 % — un référentiel objectif de 2 à 5</w:t>
      </w:r>
      <w:r>
        <w:t xml:space="preserve"> </w:t>
      </w:r>
      <w:r>
        <w:t xml:space="preserve">points de marge que la plateforme n’aurait pas pu produire sans cette</w:t>
      </w:r>
      <w:r>
        <w:t xml:space="preserve"> </w:t>
      </w:r>
      <w:r>
        <w:t xml:space="preserve">typologie.</w:t>
      </w:r>
    </w:p>
    <w:p>
      <w:pPr>
        <w:pStyle w:val="BodyText"/>
      </w:pPr>
      <w:r>
        <w:rPr>
          <w:bCs/>
          <w:b/>
        </w:rPr>
        <w:t xml:space="preserve">Prédiction de la dérive de marge (notebook 03).</w:t>
      </w:r>
      <w:r>
        <w:t xml:space="preserve"> </w:t>
      </w:r>
      <w:r>
        <w:t xml:space="preserve">La cible est le taux de</w:t>
      </w:r>
      <w:r>
        <w:t xml:space="preserve"> </w:t>
      </w:r>
      <w:r>
        <w:t xml:space="preserve">variation de la marge entre le budget d’engagement et une marge « à</w:t>
      </w:r>
      <w:r>
        <w:t xml:space="preserve"> </w:t>
      </w:r>
      <w:r>
        <w:t xml:space="preserve">terminaison » estimée poste par poste par la règle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nor/>
                <m:sty m:val="p"/>
              </m:rPr>
              <m:t>term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engagé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nor/>
                    <m:sty m:val="p"/>
                  </m:rPr>
                  <m:t>budget</m:t>
                </m:r>
              </m:e>
              <m:sub>
                <m:r>
                  <m:t>p</m:t>
                </m:r>
              </m:sub>
            </m:sSub>
          </m:e>
        </m:d>
      </m:oMath>
      <w:r>
        <w:t xml:space="preserve"> </w:t>
      </w:r>
      <w:r>
        <w:t xml:space="preserve">— un dépassement déjà engagé</w:t>
      </w:r>
      <w:r>
        <w:t xml:space="preserve"> </w:t>
      </w:r>
      <w:r>
        <w:t xml:space="preserve">est acquis, le reste du budget sera dépensé. Le périmètre d’apprentissage,</w:t>
      </w:r>
      <w:r>
        <w:t xml:space="preserve"> </w:t>
      </w:r>
      <w:r>
        <w:t xml:space="preserve">arrêté aux opérations engagées à au moins 60 % et de marge budgétée</w:t>
      </w:r>
      <w:r>
        <w:t xml:space="preserve"> </w:t>
      </w:r>
      <w:r>
        <w:t xml:space="preserve">supérieure à 50 k€, compte 123 opérations. Sur cet échantillon, 34</w:t>
      </w:r>
      <w:r>
        <w:t xml:space="preserve"> </w:t>
      </w:r>
      <w:r>
        <w:t xml:space="preserve">opérations (28 %) subissent une dérive matérielle (plus de 2 % de la marge</w:t>
      </w:r>
      <w:r>
        <w:t xml:space="preserve"> </w:t>
      </w:r>
      <w:r>
        <w:t xml:space="preserve">budgétée) (Figure 6). Les variables explicatives n’utilisent que la</w:t>
      </w:r>
      <w:r>
        <w:t xml:space="preserve"> </w:t>
      </w:r>
      <w:r>
        <w:t xml:space="preserve">structure du budget initial (parts de postes), les caractéristiques de</w:t>
      </w:r>
      <w:r>
        <w:t xml:space="preserve"> </w:t>
      </w:r>
      <w:r>
        <w:t xml:space="preserve">l’opération et les signaux commerciaux — jamais l’engagé ou le facturé, qui</w:t>
      </w:r>
      <w:r>
        <w:t xml:space="preserve"> </w:t>
      </w:r>
      <w:r>
        <w:t xml:space="preserve">définissent la cible.</w:t>
      </w:r>
    </w:p>
    <w:p>
      <w:pPr>
        <w:pStyle w:val="CaptionedFigure"/>
      </w:pPr>
      <w:r>
        <w:drawing>
          <wp:inline>
            <wp:extent cx="5334000" cy="1714181"/>
            <wp:effectExtent b="0" l="0" r="0" t="0"/>
            <wp:docPr descr="Figure 6 — Distribution du taux de variation de la marge budgétaire, avec zoom sur les opérations en dérive (notebook 03)." title="" id="46" name="Picture"/>
            <a:graphic>
              <a:graphicData uri="http://schemas.openxmlformats.org/drawingml/2006/picture">
                <pic:pic>
                  <pic:nvPicPr>
                    <pic:cNvPr descr="figures_memoire/03_prediction_marge_cell4_img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Distribution du taux de variation de la marge budgétaire, avec zoom sur les opérations en dérive (notebook 03).</w:t>
      </w:r>
    </w:p>
    <w:p>
      <w:pPr>
        <w:pStyle w:val="BodyText"/>
      </w:pPr>
      <w:r>
        <w:t xml:space="preserve">La régression par moindres carrés ordinaires, écrite en forme close puis</w:t>
      </w:r>
      <w:r>
        <w:t xml:space="preserve"> </w:t>
      </w:r>
      <w:r>
        <w:t xml:space="preserve">retrouvée par une descente de gradient maison (pas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 plus grande valeur propre de la Hessienne, convergence vérifiée à</w:t>
      </w:r>
      <w:r>
        <w:t xml:space="preserve"> </w:t>
      </w:r>
      <w:r>
        <w:t xml:space="preserve">0,145 de la solution exacte après 400 itérations), donne un R² de test de</w:t>
      </w:r>
      <w:r>
        <w:t xml:space="preserve"> </w:t>
      </w:r>
      <w:r>
        <w:t xml:space="preserve">0,077 : la structure budgétaire initiale explique une part réelle mais</w:t>
      </w:r>
      <w:r>
        <w:t xml:space="preserve"> </w:t>
      </w:r>
      <w:r>
        <w:t xml:space="preserve">modeste de la dérive. La régularisation Ridge (λ choisi par validation</w:t>
      </w:r>
      <w:r>
        <w:t xml:space="preserve"> </w:t>
      </w:r>
      <w:r>
        <w:t xml:space="preserve">croisée sur cinq plis) et Lasso n’améliorent pas ce chiffre — attendu, la</w:t>
      </w:r>
      <w:r>
        <w:t xml:space="preserve"> </w:t>
      </w:r>
      <w:r>
        <w:t xml:space="preserve">moitié de l’échantillon étant à variation nulle. L’intérêt de la</w:t>
      </w:r>
      <w:r>
        <w:t xml:space="preserve"> </w:t>
      </w:r>
      <w:r>
        <w:t xml:space="preserve">régularisation Ridge est ailleurs : elle rend lisibles, sur variables</w:t>
      </w:r>
      <w:r>
        <w:t xml:space="preserve"> </w:t>
      </w:r>
      <w:r>
        <w:t xml:space="preserve">standardisées donc comparables, les facteurs structurels de dérive — le</w:t>
      </w:r>
      <w:r>
        <w:t xml:space="preserve"> </w:t>
      </w:r>
      <w:r>
        <w:t xml:space="preserve">poids des postes techniques (foncier, VRD, construction) et une marge</w:t>
      </w:r>
      <w:r>
        <w:t xml:space="preserve"> </w:t>
      </w:r>
      <w:r>
        <w:t xml:space="preserve">relative budgétée confortable qui protège de la dérive (Figure 7).</w:t>
      </w:r>
    </w:p>
    <w:p>
      <w:pPr>
        <w:pStyle w:val="CaptionedFigure"/>
      </w:pPr>
      <w:r>
        <w:drawing>
          <wp:inline>
            <wp:extent cx="5334000" cy="3483548"/>
            <wp:effectExtent b="0" l="0" r="0" t="0"/>
            <wp:docPr descr="Figure 7 — Effet standardisé de chaque variable sur la variation de marge, estimé par régression Ridge (négatif = facteur de dérive) (notebook 03)." title="" id="49" name="Picture"/>
            <a:graphic>
              <a:graphicData uri="http://schemas.openxmlformats.org/drawingml/2006/picture">
                <pic:pic>
                  <pic:nvPicPr>
                    <pic:cNvPr descr="figures_memoire/03_prediction_marge_cell12_img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Effet standardisé de chaque variable sur la variation de marge, estimé par régression Ridge (négatif = facteur de dérive) (notebook 03).</w:t>
      </w:r>
    </w:p>
    <w:p>
      <w:pPr>
        <w:pStyle w:val="BodyText"/>
      </w:pPr>
      <w:r>
        <w:t xml:space="preserve">Le R² test modeste m’a conduite à basculer en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du risque :</w:t>
      </w:r>
      <w:r>
        <w:t xml:space="preserve"> </w:t>
      </w:r>
      <w:r>
        <w:t xml:space="preserve">« à risque » si la dérive dépasse −2 % de la marge budgétée. J’ai comparé,</w:t>
      </w:r>
      <w:r>
        <w:t xml:space="preserve"> </w:t>
      </w:r>
      <w:r>
        <w:t xml:space="preserve">en validation croisée à 5 plis et sur la métrique F1 (imposée par le</w:t>
      </w:r>
      <w:r>
        <w:t xml:space="preserve"> </w:t>
      </w:r>
      <w:r>
        <w:t xml:space="preserve">déséquilibre des classes), une régression logistique équilibrée, un SVM à</w:t>
      </w:r>
      <w:r>
        <w:t xml:space="preserve"> </w:t>
      </w:r>
      <w:r>
        <w:t xml:space="preserve">noyau linéaire et à noyau RBF, un arbre de décision (profondeur choisie par</w:t>
      </w:r>
      <w:r>
        <w:t xml:space="preserve"> </w:t>
      </w:r>
      <w:r>
        <w:t xml:space="preserve">validation croisée), une forêt aléatoire et un perceptron multicouche. Les</w:t>
      </w:r>
      <w:r>
        <w:t xml:space="preserve"> </w:t>
      </w:r>
      <w:r>
        <w:t xml:space="preserve">résultats se tiennent dans un mouchoir : arbre CART (F1 = 0,340), forêt</w:t>
      </w:r>
      <w:r>
        <w:t xml:space="preserve"> </w:t>
      </w:r>
      <w:r>
        <w:t xml:space="preserve">aléatoire (0,306), SVM linéaire (0,303), régression logistique (0,283), MLP</w:t>
      </w:r>
      <w:r>
        <w:t xml:space="preserve"> </w:t>
      </w:r>
      <w:r>
        <w:t xml:space="preserve">(0,262), SVM à noyau RBF (0,257), contre 0 pour la baseline qui prédit</w:t>
      </w:r>
      <w:r>
        <w:t xml:space="preserve"> </w:t>
      </w:r>
      <w:r>
        <w:t xml:space="preserve">systématiquement « saine ». Le MLP illustre exactement la prédiction de la</w:t>
      </w:r>
      <w:r>
        <w:t xml:space="preserve"> </w:t>
      </w:r>
      <w:r>
        <w:t xml:space="preserve">théorie de la généralisation à petit échantillon : F1 de 0,913 sur</w:t>
      </w:r>
      <w:r>
        <w:t xml:space="preserve"> </w:t>
      </w:r>
      <w:r>
        <w:t xml:space="preserve">l’entraînement contre 0,262 en validation croisée, signature nette du</w:t>
      </w:r>
      <w:r>
        <w:t xml:space="preserve"> </w:t>
      </w:r>
      <w:r>
        <w:t xml:space="preserve">sur-apprentissage. J’ai retenu la forêt aléatoire (F1 = 0,306) pour la</w:t>
      </w:r>
      <w:r>
        <w:t xml:space="preserve"> </w:t>
      </w:r>
      <w:r>
        <w:t xml:space="preserve">plateforme, sérialisée avec le modèle Ridge explicatif.</w:t>
      </w:r>
    </w:p>
    <w:p>
      <w:pPr>
        <w:pStyle w:val="BodyText"/>
      </w:pPr>
      <w:r>
        <w:t xml:space="preserve">Ces résultats, je les assume comme un système d’alerte précoce honnêtement</w:t>
      </w:r>
      <w:r>
        <w:t xml:space="preserve"> </w:t>
      </w:r>
      <w:r>
        <w:t xml:space="preserve">partiel : la structure budgétaire initiale prédispose à la dérive, elle ne</w:t>
      </w:r>
      <w:r>
        <w:t xml:space="preserve"> </w:t>
      </w:r>
      <w:r>
        <w:t xml:space="preserve">la détermine pas — l’aléa de chantier (contentieux, géotechnique) échappe</w:t>
      </w:r>
      <w:r>
        <w:t xml:space="preserve"> </w:t>
      </w:r>
      <w:r>
        <w:t xml:space="preserve">par construction aux données disponibles à l’engagement. Un F1 de 0,30 contre</w:t>
      </w:r>
      <w:r>
        <w:t xml:space="preserve"> </w:t>
      </w:r>
      <w:r>
        <w:t xml:space="preserve">0 en baseline est un signal réel, pas un oracle, et je le présente comme tel</w:t>
      </w:r>
      <w:r>
        <w:t xml:space="preserve"> </w:t>
      </w:r>
      <w:r>
        <w:t xml:space="preserve">dans la plateforme.</w:t>
      </w:r>
    </w:p>
    <w:bookmarkEnd w:id="51"/>
    <w:bookmarkStart w:id="58" w:name="axe-b"/>
    <w:p>
      <w:pPr>
        <w:pStyle w:val="Heading3"/>
      </w:pPr>
      <w:r>
        <w:t xml:space="preserve">4.4. Axe B</w:t>
      </w:r>
    </w:p>
    <w:p>
      <w:pPr>
        <w:pStyle w:val="FirstParagraph"/>
      </w:pPr>
      <w:r>
        <w:t xml:space="preserve">L’axe B répond à la deuxième question métier : à quel rythme le stock</w:t>
      </w:r>
      <w:r>
        <w:t xml:space="preserve"> </w:t>
      </w:r>
      <w:r>
        <w:t xml:space="preserve">s’écoule, et comment ce rythme réagit à la conjoncture. Le notebook</w:t>
      </w:r>
      <w:r>
        <w:t xml:space="preserve"> </w:t>
      </w:r>
      <w:r>
        <w:rPr>
          <w:rStyle w:val="VerbatimChar"/>
        </w:rPr>
        <w:t xml:space="preserve">04_vitesse_ecoulement</w:t>
      </w:r>
      <w:r>
        <w:t xml:space="preserve"> </w:t>
      </w:r>
      <w:r>
        <w:t xml:space="preserve">mobilise trois approches complémentaires sur un</w:t>
      </w:r>
      <w:r>
        <w:t xml:space="preserve"> </w:t>
      </w:r>
      <w:r>
        <w:t xml:space="preserve">panel opération × mois de 3 230 observations (160 opérations, durée de</w:t>
      </w:r>
      <w:r>
        <w:t xml:space="preserve"> </w:t>
      </w:r>
      <w:r>
        <w:t xml:space="preserve">commercialisation médiane de 16 mois), construit en réintroduisant les mois</w:t>
      </w:r>
      <w:r>
        <w:t xml:space="preserve"> </w:t>
      </w:r>
      <w:r>
        <w:t xml:space="preserve">à zéro réservation entre la première et la dernière vente de chaque</w:t>
      </w:r>
      <w:r>
        <w:t xml:space="preserve"> </w:t>
      </w:r>
      <w:r>
        <w:t xml:space="preserve">opération — sans quoi le rythme moyen serait mécaniquement surestimé.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modèle à effets aléatoires</w:t>
      </w:r>
      <w:r>
        <w:t xml:space="preserve"> </w:t>
      </w:r>
      <w:r>
        <w:t xml:space="preserve">(formalisme de Laird-Ware), qui traite</w:t>
      </w:r>
      <w:r>
        <w:t xml:space="preserve"> </w:t>
      </w:r>
      <w:r>
        <w:t xml:space="preserve">l’attractivité intrinsèque de chaque opération comme un effet aléatoire non</w:t>
      </w:r>
      <w:r>
        <w:t xml:space="preserve"> </w:t>
      </w:r>
      <w:r>
        <w:t xml:space="preserve">observé, donne un coefficient de corrélation intraclasse de 0,66 : les deux</w:t>
      </w:r>
      <w:r>
        <w:t xml:space="preserve"> </w:t>
      </w:r>
      <w:r>
        <w:t xml:space="preserve">tiers de la variance du rythme de vente tiennent à l’opération elle-même</w:t>
      </w:r>
      <w:r>
        <w:t xml:space="preserve"> </w:t>
      </w:r>
      <w:r>
        <w:t xml:space="preserve">(emplacement, produit, prix), un tiers aux fluctuations temporelles — la</w:t>
      </w:r>
      <w:r>
        <w:t xml:space="preserve"> </w:t>
      </w:r>
      <w:r>
        <w:t xml:space="preserve">réponse quantifiée au besoin B-B2. L’effet du taux des crédits est</w:t>
      </w:r>
      <w:r>
        <w:t xml:space="preserve"> </w:t>
      </w:r>
      <w:r>
        <w:t xml:space="preserve">fortement significatif (</w:t>
      </w:r>
      <m:oMath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: +1 point de taux se traduit par</w:t>
      </w:r>
      <w:r>
        <w:t xml:space="preserve"> </w:t>
      </w:r>
      <w:r>
        <w:t xml:space="preserve">une multiplication des réservations mensuelles par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216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81</m:t>
        </m:r>
      </m:oMath>
      <w:r>
        <w:t xml:space="preserve">, soit environ</w:t>
      </w:r>
      <w:r>
        <w:t xml:space="preserve"> </w:t>
      </w:r>
      <w:r>
        <w:rPr>
          <w:bCs/>
          <w:b/>
        </w:rPr>
        <w:t xml:space="preserve">−19 %</w:t>
      </w:r>
      <w:r>
        <w:t xml:space="preserve">. Le modèle pooled OLS, qui ignore la</w:t>
      </w:r>
      <w:r>
        <w:t xml:space="preserve"> </w:t>
      </w:r>
      <w:r>
        <w:t xml:space="preserve">structure du panel, surestime cet effet (−0,242 contre −0,216) en confondant</w:t>
      </w:r>
      <w:r>
        <w:t xml:space="preserve"> </w:t>
      </w:r>
      <w:r>
        <w:t xml:space="preserve">la conjoncture avec l’effet de composition du portefeuille dans le temps.</w:t>
      </w:r>
    </w:p>
    <w:p>
      <w:pPr>
        <w:pStyle w:val="BodyText"/>
      </w:pPr>
      <w:r>
        <w:t xml:space="preserve">À l’échelle agrégée, j’ai suivi la procédure du cours de séries temporelles</w:t>
      </w:r>
      <w:r>
        <w:t xml:space="preserve"> </w:t>
      </w:r>
      <w:r>
        <w:t xml:space="preserve">pour ajuster une</w:t>
      </w:r>
      <w:r>
        <w:t xml:space="preserve"> </w:t>
      </w:r>
      <w:r>
        <w:rPr>
          <w:bCs/>
          <w:b/>
        </w:rPr>
        <w:t xml:space="preserve">régression à erreurs ARIMA</w:t>
      </w:r>
      <w:r>
        <w:t xml:space="preserve"> </w:t>
      </w:r>
      <w:r>
        <w:t xml:space="preserve">sur l’intensité mensuelle de</w:t>
      </w:r>
      <w:r>
        <w:t xml:space="preserve"> </w:t>
      </w:r>
      <w:r>
        <w:t xml:space="preserve">vente (114 mois, moyenne 5,56 réservations par opération active) : spécifier</w:t>
      </w:r>
      <w:r>
        <w:t xml:space="preserve"> </w:t>
      </w:r>
      <w:r>
        <w:t xml:space="preserve">l’ARIMA des erreurs, vérifier que les résidus ressemblent à un bruit blanc</w:t>
      </w:r>
      <w:r>
        <w:t xml:space="preserve"> </w:t>
      </w:r>
      <w:r>
        <w:t xml:space="preserve">(test de Ljung-Box), puis retenir, parmi les modèles aux résidus blancs,</w:t>
      </w:r>
      <w:r>
        <w:t xml:space="preserve"> </w:t>
      </w:r>
      <w:r>
        <w:t xml:space="preserve">celui d’AICc minimal. Le modèle retenu, ARIMA(1,1,1)×(1,0,1,12) saisonnier</w:t>
      </w:r>
      <w:r>
        <w:t xml:space="preserve"> </w:t>
      </w:r>
      <w:r>
        <w:t xml:space="preserve">(AICc = 611,7, Ljung-Box p = 0,224), donne un résultat que je juge instructif</w:t>
      </w:r>
      <w:r>
        <w:t xml:space="preserve"> </w:t>
      </w:r>
      <w:r>
        <w:t xml:space="preserve">précisément parce qu’il contredit l’intuition : une fois les erreurs</w:t>
      </w:r>
      <w:r>
        <w:t xml:space="preserve"> </w:t>
      </w:r>
      <w:r>
        <w:t xml:space="preserve">correctement modélisées, le coefficient du taux d’intérêt sur la série</w:t>
      </w:r>
      <w:r>
        <w:t xml:space="preserve"> </w:t>
      </w:r>
      <w:r>
        <w:t xml:space="preserve">agrégée perd toute significativité (p = 0,82). Cent quatorze points mensuels</w:t>
      </w:r>
      <w:r>
        <w:t xml:space="preserve"> </w:t>
      </w:r>
      <w:r>
        <w:t xml:space="preserve">ne suffisent pas à séparer l’effet du taux — lent et persistant — de la</w:t>
      </w:r>
      <w:r>
        <w:t xml:space="preserve"> </w:t>
      </w:r>
      <w:r>
        <w:t xml:space="preserve">dynamique propre de la série ; une régression naïve en niveaux aurait donné</w:t>
      </w:r>
      <w:r>
        <w:t xml:space="preserve"> </w:t>
      </w:r>
      <w:r>
        <w:t xml:space="preserve">un taux « très significatif », illusion typique de la</w:t>
      </w:r>
      <w:r>
        <w:t xml:space="preserve"> </w:t>
      </w:r>
      <w:r>
        <w:rPr>
          <w:iCs/>
          <w:i/>
        </w:rPr>
        <w:t xml:space="preserve">spurious</w:t>
      </w:r>
      <w:r>
        <w:rPr>
          <w:iCs/>
          <w:i/>
        </w:rPr>
        <w:t xml:space="preserve"> </w:t>
      </w:r>
      <w:r>
        <w:rPr>
          <w:iCs/>
          <w:i/>
        </w:rPr>
        <w:t xml:space="preserve">regression</w:t>
      </w:r>
      <w:r>
        <w:t xml:space="preserve">. J’ai donc combiné les deux modèles selon ce que chacun sait</w:t>
      </w:r>
      <w:r>
        <w:t xml:space="preserve"> </w:t>
      </w:r>
      <w:r>
        <w:t xml:space="preserve">faire : l’ARIMAX fournit la trajectoire de référence (dynamique et</w:t>
      </w:r>
      <w:r>
        <w:t xml:space="preserve"> </w:t>
      </w:r>
      <w:r>
        <w:t xml:space="preserve">saisonnalité, taux au statu quo), et l’élasticité solidement identifiée par</w:t>
      </w:r>
      <w:r>
        <w:t xml:space="preserve"> </w:t>
      </w:r>
      <w:r>
        <w:t xml:space="preserve">le panel (β = −0,216, p &lt; 10⁻¹⁵) traduit chaque scénario de taux en facteur</w:t>
      </w:r>
      <w:r>
        <w:t xml:space="preserve"> </w:t>
      </w:r>
      <w:r>
        <w:t xml:space="preserve">multiplicatif — l’esprit d’une fonction de transfert. Sous cette</w:t>
      </w:r>
      <w:r>
        <w:t xml:space="preserve"> </w:t>
      </w:r>
      <w:r>
        <w:t xml:space="preserve">construction, une détente à 2,5 % en 2026 porte le rythme moyen à +6 % par</w:t>
      </w:r>
      <w:r>
        <w:t xml:space="preserve"> </w:t>
      </w:r>
      <w:r>
        <w:t xml:space="preserve">rapport au statu quo (3,1 %), une remontée à 3,5 % le réduit de 3 % (Figure</w:t>
      </w:r>
      <w:r>
        <w:t xml:space="preserve"> </w:t>
      </w:r>
      <w:r>
        <w:t xml:space="preserve">8).</w:t>
      </w:r>
    </w:p>
    <w:p>
      <w:pPr>
        <w:pStyle w:val="CaptionedFigure"/>
      </w:pPr>
      <w:r>
        <w:drawing>
          <wp:inline>
            <wp:extent cx="5334000" cy="2003589"/>
            <wp:effectExtent b="0" l="0" r="0" t="0"/>
            <wp:docPr descr="Figure 8 — Trajectoire de l’intensité de vente sous trois scénarios de taux 2026, combinant la trajectoire ARIMA et l’élasticité du panel (notebook 04)." title="" id="53" name="Picture"/>
            <a:graphic>
              <a:graphicData uri="http://schemas.openxmlformats.org/drawingml/2006/picture">
                <pic:pic>
                  <pic:nvPicPr>
                    <pic:cNvPr descr="figures_memoire/04_vitesse_ecoulement_cell14_img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Trajectoire de l’intensité de vente sous trois scénarios de taux 2026, combinant la trajectoire ARIMA et l’élasticité du panel (notebook 04).</w:t>
      </w:r>
    </w:p>
    <w:p>
      <w:pPr>
        <w:pStyle w:val="BodyText"/>
      </w:pPr>
      <w:r>
        <w:t xml:space="preserve">À l’échelle d’une opération, la courbe des réservations cumulées suit un</w:t>
      </w:r>
      <w:r>
        <w:t xml:space="preserve"> </w:t>
      </w:r>
      <w:r>
        <w:t xml:space="preserve">profil en S que j’ai ajusté par une</w:t>
      </w:r>
      <w:r>
        <w:t xml:space="preserve"> </w:t>
      </w:r>
      <w:r>
        <w:rPr>
          <w:bCs/>
          <w:b/>
        </w:rPr>
        <w:t xml:space="preserve">fonction sigmoïde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sup>
            </m:sSup>
          </m:e>
        </m:d>
      </m:oMath>
      <w:r>
        <w:t xml:space="preserve"> </w:t>
      </w:r>
      <w:r>
        <w:t xml:space="preserve">par moindres carrés non linéaires, sur les 28 opérations</w:t>
      </w:r>
      <w:r>
        <w:t xml:space="preserve"> </w:t>
      </w:r>
      <w:r>
        <w:t xml:space="preserve">terminées du portefeuille (au moins 90 % des lots vendus, au moins 40 lots,</w:t>
      </w:r>
      <w:r>
        <w:t xml:space="preserve"> </w:t>
      </w:r>
      <w:r>
        <w:t xml:space="preserve">au moins 18 mois d’historique). La sigmoïde bat l’ajustement linéaire sur 25</w:t>
      </w:r>
      <w:r>
        <w:t xml:space="preserve"> </w:t>
      </w:r>
      <w:r>
        <w:t xml:space="preserve">de ces 28 opérations (Figure 9) ; le paramètre de vitesse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varie du simple</w:t>
      </w:r>
      <w:r>
        <w:t xml:space="preserve"> </w:t>
      </w:r>
      <w:r>
        <w:t xml:space="preserve">au quintuple selon les opérations — une signature de l’adéquation</w:t>
      </w:r>
      <w:r>
        <w:t xml:space="preserve"> </w:t>
      </w:r>
      <w:r>
        <w:t xml:space="preserve">prix-marché au lancement, réutilisable par l’axe C — et le délai médian</w:t>
      </w:r>
      <w:r>
        <w:t xml:space="preserve"> </w:t>
      </w:r>
      <w:r>
        <w:t xml:space="preserve">d’écoulement à 90 % du potentiel est d’environ 20 mois, un chiffre qui cale</w:t>
      </w:r>
      <w:r>
        <w:t xml:space="preserve"> </w:t>
      </w:r>
      <w:r>
        <w:t xml:space="preserve">directement les échéanciers de trésorerie visés par le besoin B-B3.</w:t>
      </w:r>
    </w:p>
    <w:p>
      <w:pPr>
        <w:pStyle w:val="CaptionedFigure"/>
      </w:pPr>
      <w:r>
        <w:drawing>
          <wp:inline>
            <wp:extent cx="5334000" cy="3130051"/>
            <wp:effectExtent b="0" l="0" r="0" t="0"/>
            <wp:docPr descr="Figure 9 — Courbes de réservations cumulées et ajustement sigmoïde sur les quatre opérations les plus vendues du portefeuille (notebook 04)." title="" id="56" name="Picture"/>
            <a:graphic>
              <a:graphicData uri="http://schemas.openxmlformats.org/drawingml/2006/picture">
                <pic:pic>
                  <pic:nvPicPr>
                    <pic:cNvPr descr="figures_memoire/04_vitesse_ecoulement_cell18_img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Courbes de réservations cumulées et ajustement sigmoïde sur les quatre opérations les plus vendues du portefeuille (notebook 04).</w:t>
      </w:r>
    </w:p>
    <w:bookmarkEnd w:id="58"/>
    <w:bookmarkStart w:id="65" w:name="axe-c"/>
    <w:p>
      <w:pPr>
        <w:pStyle w:val="Heading3"/>
      </w:pPr>
      <w:r>
        <w:t xml:space="preserve">4.5. Axe C</w:t>
      </w:r>
    </w:p>
    <w:p>
      <w:pPr>
        <w:pStyle w:val="FirstParagraph"/>
      </w:pPr>
      <w:r>
        <w:t xml:space="preserve">L’axe C répond à la troisième question métier : à quel prix vendre chaque</w:t>
      </w:r>
      <w:r>
        <w:t xml:space="preserve"> </w:t>
      </w:r>
      <w:r>
        <w:t xml:space="preserve">lot. Le notebook</w:t>
      </w:r>
      <w:r>
        <w:t xml:space="preserve"> </w:t>
      </w:r>
      <w:r>
        <w:rPr>
          <w:rStyle w:val="VerbatimChar"/>
        </w:rPr>
        <w:t xml:space="preserve">05_optimisation_prix</w:t>
      </w:r>
      <w:r>
        <w:t xml:space="preserve"> </w:t>
      </w:r>
      <w:r>
        <w:t xml:space="preserve">construit d’abord un</w:t>
      </w:r>
      <w:r>
        <w:t xml:space="preserve"> </w:t>
      </w:r>
      <w:r>
        <w:rPr>
          <w:bCs/>
          <w:b/>
        </w:rPr>
        <w:t xml:space="preserve">modèle</w:t>
      </w:r>
      <w:r>
        <w:rPr>
          <w:bCs/>
          <w:b/>
        </w:rPr>
        <w:t xml:space="preserve"> </w:t>
      </w:r>
      <w:r>
        <w:rPr>
          <w:bCs/>
          <w:b/>
        </w:rPr>
        <w:t xml:space="preserve">hédonique</w:t>
      </w:r>
      <w:r>
        <w:t xml:space="preserve"> </w:t>
      </w:r>
      <w:r>
        <w:t xml:space="preserve">— un logement comme somme de caractéristiques valorisées</w:t>
      </w:r>
      <w:r>
        <w:t xml:space="preserve"> </w:t>
      </w:r>
      <w:r>
        <w:t xml:space="preserve">séparément — sur les 5 064 appartements réservés, vendus ou livrés entre</w:t>
      </w:r>
      <w:r>
        <w:t xml:space="preserve"> </w:t>
      </w:r>
      <w:r>
        <w:t xml:space="preserve">2016 et 2026, en excluant les 127 appartements encore en stock qui sont</w:t>
      </w:r>
      <w:r>
        <w:t xml:space="preserve"> </w:t>
      </w:r>
      <w:r>
        <w:t xml:space="preserve">précisément ceux que le modèle doit évaluer. La cible est le log-prix au m²,</w:t>
      </w:r>
      <w:r>
        <w:t xml:space="preserve"> </w:t>
      </w:r>
      <w:r>
        <w:t xml:space="preserve">choix motivé par le constat de log-normalité du notebook 00. OLS, Ridge et</w:t>
      </w:r>
      <w:r>
        <w:t xml:space="preserve"> </w:t>
      </w:r>
      <w:r>
        <w:t xml:space="preserve">Lasso donnent des résultats quasiment identiques (R² test de 0,886, RMSE de</w:t>
      </w:r>
      <w:r>
        <w:t xml:space="preserve"> </w:t>
      </w:r>
      <w:r>
        <w:t xml:space="preserve">test de 0,111 en log, soit une erreur type d’environ 11 % sur le prix) : avec</w:t>
      </w:r>
      <w:r>
        <w:t xml:space="preserve"> </w:t>
      </w:r>
      <w:r>
        <w:t xml:space="preserve">plus de 5 000 observations pour une trentaine de coefficients, la</w:t>
      </w:r>
      <w:r>
        <w:t xml:space="preserve"> </w:t>
      </w:r>
      <w:r>
        <w:t xml:space="preserve">régularisation n’a presque rien à stabiliser, et j’ai retenu l’OLS, le plus</w:t>
      </w:r>
      <w:r>
        <w:t xml:space="preserve"> </w:t>
      </w:r>
      <w:r>
        <w:t xml:space="preserve">interprétable.</w:t>
      </w:r>
    </w:p>
    <w:p>
      <w:pPr>
        <w:pStyle w:val="BodyText"/>
      </w:pPr>
      <w:r>
        <w:t xml:space="preserve">Les primes hédoniques sont économiquement cohérentes : une prime d’étage</w:t>
      </w:r>
      <w:r>
        <w:t xml:space="preserve"> </w:t>
      </w:r>
      <w:r>
        <w:t xml:space="preserve">(+6,0 % par écart-type), une prime d’exposition Sud (+2,6 % contre</w:t>
      </w:r>
      <w:r>
        <w:t xml:space="preserve"> </w:t>
      </w:r>
      <w:r>
        <w:t xml:space="preserve">Est-Ouest), une décote nette du logement social réglementé (−62,8 % contre</w:t>
      </w:r>
      <w:r>
        <w:t xml:space="preserve"> </w:t>
      </w:r>
      <w:r>
        <w:t xml:space="preserve">le libre) et une élasticité-taille négative (−3,1 % par écart-type de</w:t>
      </w:r>
      <w:r>
        <w:t xml:space="preserve"> </w:t>
      </w:r>
      <w:r>
        <w:t xml:space="preserve">log(surface), la demande de petites surfaces étant plus dense). L’effet millésime</w:t>
      </w:r>
      <w:r>
        <w:t xml:space="preserve"> </w:t>
      </w:r>
      <w:r>
        <w:t xml:space="preserve">est particulièrement parlant : +19,0 % en 2023 et +20,9 % en 2026 par</w:t>
      </w:r>
      <w:r>
        <w:t xml:space="preserve"> </w:t>
      </w:r>
      <w:r>
        <w:t xml:space="preserve">rapport à 2016, un plateau atteint après 2022 (Figure 10) — les prix du neuf</w:t>
      </w:r>
      <w:r>
        <w:t xml:space="preserve"> </w:t>
      </w:r>
      <w:r>
        <w:t xml:space="preserve">n’ont pas baissé avec la remontée des taux, c’est le</w:t>
      </w:r>
      <w:r>
        <w:t xml:space="preserve"> </w:t>
      </w:r>
      <w:r>
        <w:rPr>
          <w:bCs/>
          <w:b/>
        </w:rPr>
        <w:t xml:space="preserve">volume</w:t>
      </w:r>
      <w:r>
        <w:t xml:space="preserve"> </w:t>
      </w:r>
      <w:r>
        <w:t xml:space="preserve">de ventes</w:t>
      </w:r>
      <w:r>
        <w:t xml:space="preserve"> </w:t>
      </w:r>
      <w:r>
        <w:t xml:space="preserve">qui s’est ajusté, comme l’a montré l’axe B, comportement typique d’un</w:t>
      </w:r>
      <w:r>
        <w:t xml:space="preserve"> </w:t>
      </w:r>
      <w:r>
        <w:t xml:space="preserve">promoteur qui défend sa grille plutôt que de la démentir.</w:t>
      </w:r>
    </w:p>
    <w:p>
      <w:pPr>
        <w:pStyle w:val="CaptionedFigure"/>
      </w:pPr>
      <w:r>
        <w:drawing>
          <wp:inline>
            <wp:extent cx="5334000" cy="1970632"/>
            <wp:effectExtent b="0" l="0" r="0" t="0"/>
            <wp:docPr descr="Figure 10 — Effet millésime du modèle hédonique, référence 2016 (notebook 05)." title="" id="60" name="Picture"/>
            <a:graphic>
              <a:graphicData uri="http://schemas.openxmlformats.org/drawingml/2006/picture">
                <pic:pic>
                  <pic:nvPicPr>
                    <pic:cNvPr descr="figures_memoire/05_optimisation_prix_cell6_img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Effet millésime du modèle hédonique, référence 2016 (notebook 05).</w:t>
      </w:r>
    </w:p>
    <w:p>
      <w:pPr>
        <w:pStyle w:val="BodyText"/>
      </w:pPr>
      <w:r>
        <w:t xml:space="preserve">Appliqué aux 127 appartements en stock, l’écart entre le prix grille et le</w:t>
      </w:r>
      <w:r>
        <w:t xml:space="preserve"> </w:t>
      </w:r>
      <w:r>
        <w:t xml:space="preserve">prix hédonique prédit sert de diagnostic (besoin B-C3) : au-delà de ±1</w:t>
      </w:r>
      <w:r>
        <w:t xml:space="preserve"> </w:t>
      </w:r>
      <w:r>
        <w:t xml:space="preserve">RMSE, 103 appartements sont dans le marché, 16 sont sous-cotés et 8 sont</w:t>
      </w:r>
      <w:r>
        <w:t xml:space="preserve"> </w:t>
      </w:r>
      <w:r>
        <w:t xml:space="preserve">surcotés — soit 24 lots (19 %) qui méritent une revue de grille (Figure 11).</w:t>
      </w:r>
    </w:p>
    <w:p>
      <w:pPr>
        <w:pStyle w:val="CaptionedFigure"/>
      </w:pPr>
      <w:r>
        <w:drawing>
          <wp:inline>
            <wp:extent cx="5334000" cy="2094331"/>
            <wp:effectExtent b="0" l="0" r="0" t="0"/>
            <wp:docPr descr="Figure 11 — Diagnostic du stock d’appartements : prix hédonique prédit contre prix grille actuel (notebook 05)." title="" id="63" name="Picture"/>
            <a:graphic>
              <a:graphicData uri="http://schemas.openxmlformats.org/drawingml/2006/picture">
                <pic:pic>
                  <pic:nvPicPr>
                    <pic:cNvPr descr="figures_memoire/05_optimisation_prix_cell9_img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Diagnostic du stock d’appartements : prix hédonique prédit contre prix grille actuel (notebook 05).</w:t>
      </w:r>
    </w:p>
    <w:p>
      <w:pPr>
        <w:pStyle w:val="BodyText"/>
      </w:pPr>
      <w:r>
        <w:t xml:space="preserve">L’optimisation exige de savoir comment la demande réagit au prix. Mon</w:t>
      </w:r>
      <w:r>
        <w:t xml:space="preserve"> </w:t>
      </w:r>
      <w:r>
        <w:t xml:space="preserve">estimation interne, en régressant le rythme de vente sur 95 opérations,</w:t>
      </w:r>
      <w:r>
        <w:t xml:space="preserve"> </w:t>
      </w:r>
      <w:r>
        <w:t xml:space="preserve">donne une élasticité de −0,81 (IC 95 % [−3,62 ; 1,99], p = 0,57) : le bon</w:t>
      </w:r>
      <w:r>
        <w:t xml:space="preserve"> </w:t>
      </w:r>
      <w:r>
        <w:t xml:space="preserve">signe, mais non significative — les grilles du groupe sont déjà globalement</w:t>
      </w:r>
      <w:r>
        <w:t xml:space="preserve"> </w:t>
      </w:r>
      <w:r>
        <w:t xml:space="preserve">alignées sur le marché, et 95 opérations ne suffisent pas à trancher plus</w:t>
      </w:r>
      <w:r>
        <w:t xml:space="preserve"> </w:t>
      </w:r>
      <w:r>
        <w:t xml:space="preserve">finement. J’ai retenu ε = −1, une valeur compatible avec cette estimation et</w:t>
      </w:r>
      <w:r>
        <w:t xml:space="preserve"> </w:t>
      </w:r>
      <w:r>
        <w:t xml:space="preserve">cohérente avec le bas de la fourchette de la littérature sur la demande de</w:t>
      </w:r>
      <w:r>
        <w:t xml:space="preserve"> </w:t>
      </w:r>
      <w:r>
        <w:t xml:space="preserve">logements neufs (Meen, 2001 ; DiPasquale et Wheaton, 1994) — un choix</w:t>
      </w:r>
      <w:r>
        <w:t xml:space="preserve"> </w:t>
      </w:r>
      <w:r>
        <w:t xml:space="preserve">prudent, documenté plutôt que masqué.</w:t>
      </w:r>
    </w:p>
    <w:p>
      <w:pPr>
        <w:pStyle w:val="BodyText"/>
      </w:pPr>
      <w:r>
        <w:t xml:space="preserve">Le problème d’optimisation — maximiser le revenu attendu sous une contrainte</w:t>
      </w:r>
      <w:r>
        <w:t xml:space="preserve"> </w:t>
      </w:r>
      <w:r>
        <w:t xml:space="preserve">de volume à écouler — se résout d’abord analytiquement, par un</w:t>
      </w:r>
      <w:r>
        <w:t xml:space="preserve"> </w:t>
      </w:r>
      <w:r>
        <w:t xml:space="preserve">multiplicateur de Lagrange. Pour ε = −1, la condition du premier ordre se</w:t>
      </w:r>
      <w:r>
        <w:t xml:space="preserve"> </w:t>
      </w:r>
      <w:r>
        <w:t xml:space="preserve">simplifie remarquablement en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la remise optimale</w:t>
      </w:r>
      <w:r>
        <w:rPr>
          <w:bCs/>
          <w:b/>
        </w:rPr>
        <w:t xml:space="preserve"> </w:t>
      </w:r>
      <w:r>
        <w:rPr>
          <w:bCs/>
          <w:b/>
        </w:rPr>
        <w:t xml:space="preserve">en euros est identique sur tous les lots</w:t>
      </w:r>
      <w:r>
        <w:t xml:space="preserve">, quel que soit leur prix, donc un</w:t>
      </w:r>
      <w:r>
        <w:t xml:space="preserve"> </w:t>
      </w:r>
      <w:r>
        <w:t xml:space="preserve">pourcentage de remise plus fort sur les lots les moins chers. Sur</w:t>
      </w:r>
      <w:r>
        <w:t xml:space="preserve"> </w:t>
      </w:r>
      <w:r>
        <w:t xml:space="preserve">l’opération ARPEGGIO (18 lots libres en stock, de 166 à 461 k€), viser +8 %</w:t>
      </w:r>
      <w:r>
        <w:t xml:space="preserve"> </w:t>
      </w:r>
      <w:r>
        <w:t xml:space="preserve">de rythme de vente donne λ* = −23 015 €, avec des ajustements individuels de</w:t>
      </w:r>
      <w:r>
        <w:t xml:space="preserve"> </w:t>
      </w:r>
      <w:r>
        <w:t xml:space="preserve">−5,0 % à −13,9 % selon le prix du lot. La résolution numérique sous bornes</w:t>
      </w:r>
      <w:r>
        <w:t xml:space="preserve"> </w:t>
      </w:r>
      <w:r>
        <w:t xml:space="preserve">commerciales (−10 % à +5 % par lot), par montée de gradient projetée puis</w:t>
      </w:r>
      <w:r>
        <w:t xml:space="preserve"> </w:t>
      </w:r>
      <w:r>
        <w:t xml:space="preserve">vérifiée par SLSQP, converge vers la même solution à 0,006 près, avec deux</w:t>
      </w:r>
      <w:r>
        <w:t xml:space="preserve"> </w:t>
      </w:r>
      <w:r>
        <w:t xml:space="preserve">lots sur 18 à une borne active. Le résultat que je retiens est non trivial :</w:t>
      </w:r>
      <w:r>
        <w:t xml:space="preserve"> </w:t>
      </w:r>
      <w:r>
        <w:t xml:space="preserve">la politique de remise actuelle, au cas par cas, ne respecte pas cette</w:t>
      </w:r>
      <w:r>
        <w:t xml:space="preserve"> </w:t>
      </w:r>
      <w:r>
        <w:t xml:space="preserve">règle d’égalité en euros — un point concret que le Copilote peut corriger.</w:t>
      </w:r>
    </w:p>
    <w:bookmarkEnd w:id="65"/>
    <w:bookmarkStart w:id="75" w:name="signaux-faibles-texte-et-réseau"/>
    <w:p>
      <w:pPr>
        <w:pStyle w:val="Heading3"/>
      </w:pPr>
      <w:r>
        <w:t xml:space="preserve">4.6. Signaux faibles (texte et réseau)</w:t>
      </w:r>
    </w:p>
    <w:p>
      <w:pPr>
        <w:pStyle w:val="FirstParagraph"/>
      </w:pPr>
      <w:r>
        <w:t xml:space="preserve">Le notebook</w:t>
      </w:r>
      <w:r>
        <w:t xml:space="preserve"> </w:t>
      </w:r>
      <w:r>
        <w:rPr>
          <w:rStyle w:val="VerbatimChar"/>
        </w:rPr>
        <w:t xml:space="preserve">06_texte_et_reseau</w:t>
      </w:r>
      <w:r>
        <w:t xml:space="preserve"> </w:t>
      </w:r>
      <w:r>
        <w:t xml:space="preserve">exploite ce que les champs structurés ne</w:t>
      </w:r>
      <w:r>
        <w:t xml:space="preserve"> </w:t>
      </w:r>
      <w:r>
        <w:t xml:space="preserve">captent pas : les 9 688 commentaires libres de vente (67 % des 14 428</w:t>
      </w:r>
      <w:r>
        <w:t xml:space="preserve"> </w:t>
      </w:r>
      <w:r>
        <w:t xml:space="preserve">dossiers) et le réseau des vendeurs.</w:t>
      </w:r>
    </w:p>
    <w:p>
      <w:pPr>
        <w:pStyle w:val="BodyText"/>
      </w:pPr>
      <w:r>
        <w:rPr>
          <w:bCs/>
          <w:b/>
        </w:rPr>
        <w:t xml:space="preserve">Texte.</w:t>
      </w:r>
      <w:r>
        <w:t xml:space="preserve"> </w:t>
      </w:r>
      <w:r>
        <w:t xml:space="preserve">J’ai appliqué les formules exactes du cours de recherche</w:t>
      </w:r>
      <w:r>
        <w:t xml:space="preserve"> </w:t>
      </w:r>
      <w:r>
        <w:t xml:space="preserve">documentaire (TF-IDF en base 10, similarité cosinus) à la main sur un</w:t>
      </w:r>
      <w:r>
        <w:t xml:space="preserve"> </w:t>
      </w:r>
      <w:r>
        <w:t xml:space="preserve">mini-corpus de trois commentaires réels, avant de passer à l’échelle avec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 </w:t>
      </w:r>
      <w:r>
        <w:t xml:space="preserve">sur le corpus dédupliqué (1 346 documents, 535 termes,</w:t>
      </w:r>
      <w:r>
        <w:t xml:space="preserve"> </w:t>
      </w:r>
      <w:r>
        <w:t xml:space="preserve">creux à 98,8 %) — en documentant explicitement l’écart entre la formule du</w:t>
      </w:r>
      <w:r>
        <w:t xml:space="preserve"> </w:t>
      </w:r>
      <w:r>
        <w:t xml:space="preserve">cours et l’implémentation lissée de scikit-learn, dont seule l’échelle</w:t>
      </w:r>
      <w:r>
        <w:t xml:space="preserve"> </w:t>
      </w:r>
      <w:r>
        <w:t xml:space="preserve">diffère, pas le classement des termes. Le moteur de recherche qui en résulte</w:t>
      </w:r>
      <w:r>
        <w:t xml:space="preserve"> </w:t>
      </w:r>
      <w:r>
        <w:t xml:space="preserve">(requête → vecteur → similarités → tri → top-k, le pipeline exact du cours)</w:t>
      </w:r>
      <w:r>
        <w:t xml:space="preserve"> </w:t>
      </w:r>
      <w:r>
        <w:t xml:space="preserve">répond aux deux besoins métier : « refus de prêt banque » remonte des</w:t>
      </w:r>
      <w:r>
        <w:t xml:space="preserve"> </w:t>
      </w:r>
      <w:r>
        <w:t xml:space="preserve">dossiers tous désistés (cosinus de 0,68 à 0,90), « remise prix hors pack »</w:t>
      </w:r>
      <w:r>
        <w:t xml:space="preserve"> </w:t>
      </w:r>
      <w:r>
        <w:t xml:space="preserve">remonte des ventes maintenues documentant des remises invisibles des champs</w:t>
      </w:r>
      <w:r>
        <w:t xml:space="preserve"> </w:t>
      </w:r>
      <w:r>
        <w:t xml:space="preserve">structurés.</w:t>
      </w:r>
    </w:p>
    <w:p>
      <w:pPr>
        <w:pStyle w:val="BodyText"/>
      </w:pPr>
      <w:r>
        <w:t xml:space="preserve">Prédire le désistement à partir du texte exige d’abord d’écarter la fuite de</w:t>
      </w:r>
      <w:r>
        <w:t xml:space="preserve"> </w:t>
      </w:r>
      <w:r>
        <w:t xml:space="preserve">cible la plus évidente : 314 commentaires mentionnent explicitement le</w:t>
      </w:r>
      <w:r>
        <w:t xml:space="preserve"> </w:t>
      </w:r>
      <w:r>
        <w:t xml:space="preserve">désistement (« annulation », « résiliation »…) et sont désistés à 98,4 %</w:t>
      </w:r>
      <w:r>
        <w:t xml:space="preserve"> </w:t>
      </w:r>
      <w:r>
        <w:t xml:space="preserve">— je les ai retirés du corpus d’apprentissage, qui compte alors 9 374</w:t>
      </w:r>
      <w:r>
        <w:t xml:space="preserve"> </w:t>
      </w:r>
      <w:r>
        <w:t xml:space="preserve">commentaires pour un taux de désistement de 12,7 %. Sur ce corpus filtré, un</w:t>
      </w:r>
      <w:r>
        <w:t xml:space="preserve"> </w:t>
      </w:r>
      <w:r>
        <w:t xml:space="preserve">Naive Bayes multinomial (lissage de Laplace, comptages bruts) atteint un F1</w:t>
      </w:r>
      <w:r>
        <w:t xml:space="preserve"> </w:t>
      </w:r>
      <w:r>
        <w:t xml:space="preserve">de 0,343 sur la classe désistée (rappel 0,50, précision 0,26), contre 0 pour</w:t>
      </w:r>
      <w:r>
        <w:t xml:space="preserve"> </w:t>
      </w:r>
      <w:r>
        <w:t xml:space="preserve">la baseline majoritaire et 0,254 pour une régression logistique — plus</w:t>
      </w:r>
      <w:r>
        <w:t xml:space="preserve"> </w:t>
      </w:r>
      <w:r>
        <w:t xml:space="preserve">précise (0,72) mais quasi muette (rappel de 0,15). Pour un système d’alerte</w:t>
      </w:r>
      <w:r>
        <w:t xml:space="preserve"> </w:t>
      </w:r>
      <w:r>
        <w:t xml:space="preserve">précoce, où manquer un désistement coûte plus cher qu’une fausse alerte, le</w:t>
      </w:r>
      <w:r>
        <w:t xml:space="preserve"> </w:t>
      </w:r>
      <w:r>
        <w:t xml:space="preserve">Naive Bayes est préférable malgré sa précision plus faible. Les termes les</w:t>
      </w:r>
      <w:r>
        <w:t xml:space="preserve"> </w:t>
      </w:r>
      <w:r>
        <w:t xml:space="preserve">plus discriminants sont cohérents avec le métier — « refus », « retirés »</w:t>
      </w:r>
      <w:r>
        <w:t xml:space="preserve"> </w:t>
      </w:r>
      <w:r>
        <w:t xml:space="preserve">(plis SRU non retirés) penchent vers le désistement, le vocabulaire des</w:t>
      </w:r>
      <w:r>
        <w:t xml:space="preserve"> </w:t>
      </w:r>
      <w:r>
        <w:t xml:space="preserve">ventes en bloc et du logement social vers le maintien (Figure 12) — mais je</w:t>
      </w:r>
      <w:r>
        <w:t xml:space="preserve"> </w:t>
      </w:r>
      <w:r>
        <w:t xml:space="preserve">dois être honnête sur la force du signal : F1 ≈ 0,34 reste faible, la</w:t>
      </w:r>
      <w:r>
        <w:t xml:space="preserve"> </w:t>
      </w:r>
      <w:r>
        <w:t xml:space="preserve">plupart des commentaires décrivant les conditions de vente à la réservation</w:t>
      </w:r>
      <w:r>
        <w:t xml:space="preserve"> </w:t>
      </w:r>
      <w:r>
        <w:t xml:space="preserve">plutôt que la fragilité du client. Le texte est retenu comme signal</w:t>
      </w:r>
      <w:r>
        <w:t xml:space="preserve"> </w:t>
      </w:r>
      <w:r>
        <w:t xml:space="preserve">d’appoint pour l’axe A, pas comme prédicteur autonome.</w:t>
      </w:r>
    </w:p>
    <w:p>
      <w:pPr>
        <w:pStyle w:val="CaptionedFigure"/>
      </w:pPr>
      <w:r>
        <w:drawing>
          <wp:inline>
            <wp:extent cx="5334000" cy="3426936"/>
            <wp:effectExtent b="0" l="0" r="0" t="0"/>
            <wp:docPr descr="Figure 12 — Termes les plus discriminants du classifieur Naive Bayes entre commentaires « désisté » et « maintenu » (notebook 06)." title="" id="67" name="Picture"/>
            <a:graphic>
              <a:graphicData uri="http://schemas.openxmlformats.org/drawingml/2006/picture">
                <pic:pic>
                  <pic:nvPicPr>
                    <pic:cNvPr descr="figures_memoire/06_texte_et_reseau_cell25_img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Termes les plus discriminants du classifieur Naive Bayes entre commentaires « désisté » et « maintenu » (notebook 06).</w:t>
      </w:r>
    </w:p>
    <w:p>
      <w:pPr>
        <w:pStyle w:val="BodyText"/>
      </w:pPr>
      <w:r>
        <w:t xml:space="preserve">L’entropie des motifs de désistement (au sens du cours d’arbres de</w:t>
      </w:r>
      <w:r>
        <w:t xml:space="preserve"> </w:t>
      </w:r>
      <w:r>
        <w:t xml:space="preserve">décision) et la divergence de Kullback-Leibler par rapport au profil groupe</w:t>
      </w:r>
      <w:r>
        <w:t xml:space="preserve"> </w:t>
      </w:r>
      <w:r>
        <w:t xml:space="preserve">révèlent un résultat que je n’attendais pas au départ : l’agence de</w:t>
      </w:r>
      <w:r>
        <w:t xml:space="preserve"> </w:t>
      </w:r>
      <w:r>
        <w:t xml:space="preserve">Salon-de-Provence a un profil très atypique (KL ≈ 3,0 bits contre moins de</w:t>
      </w:r>
      <w:r>
        <w:t xml:space="preserve"> </w:t>
      </w:r>
      <w:r>
        <w:t xml:space="preserve">0,3 bit pour toutes les autres agences, entropie effondrée à 0,47 bit contre</w:t>
      </w:r>
      <w:r>
        <w:t xml:space="preserve"> </w:t>
      </w:r>
      <w:r>
        <w:t xml:space="preserve">1,5 bit pour le groupe), non pas un comportement client différent mais un</w:t>
      </w:r>
      <w:r>
        <w:t xml:space="preserve"> </w:t>
      </w:r>
      <w:r>
        <w:t xml:space="preserve">défaut de saisie — 90 % de ses motifs sont enregistrés sous « Autres</w:t>
      </w:r>
      <w:r>
        <w:t xml:space="preserve"> </w:t>
      </w:r>
      <w:r>
        <w:t xml:space="preserve">motifs » (Figure 13). La divergence KL sert ici d’abord de détecteur de</w:t>
      </w:r>
      <w:r>
        <w:t xml:space="preserve"> </w:t>
      </w:r>
      <w:r>
        <w:t xml:space="preserve">qualité de données, avant d’être un signal commercial.</w:t>
      </w:r>
    </w:p>
    <w:p>
      <w:pPr>
        <w:pStyle w:val="CaptionedFigure"/>
      </w:pPr>
      <w:r>
        <w:drawing>
          <wp:inline>
            <wp:extent cx="5334000" cy="1907128"/>
            <wp:effectExtent b="0" l="0" r="0" t="0"/>
            <wp:docPr descr="Figure 13 — Répartition des motifs de désistement par agence et divergence de Kullback-Leibler au profil groupe (notebook 06)." title="" id="70" name="Picture"/>
            <a:graphic>
              <a:graphicData uri="http://schemas.openxmlformats.org/drawingml/2006/picture">
                <pic:pic>
                  <pic:nvPicPr>
                    <pic:cNvPr descr="figures_memoire/06_texte_et_reseau_cell30_img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Répartition des motifs de désistement par agence et divergence de Kullback-Leibler au profil groupe (notebook 06).</w:t>
      </w:r>
    </w:p>
    <w:p>
      <w:pPr>
        <w:pStyle w:val="BodyText"/>
      </w:pPr>
      <w:r>
        <w:rPr>
          <w:bCs/>
          <w:b/>
        </w:rPr>
        <w:t xml:space="preserve">Réseau.</w:t>
      </w:r>
      <w:r>
        <w:t xml:space="preserve"> </w:t>
      </w:r>
      <w:r>
        <w:t xml:space="preserve">Le graphe biparti vendeurs-opérations (209 vendeurs à au moins 3</w:t>
      </w:r>
      <w:r>
        <w:t xml:space="preserve"> </w:t>
      </w:r>
      <w:r>
        <w:t xml:space="preserve">dossiers, couvrant 98,8 % des dossiers attribués, 104 opérations, 711</w:t>
      </w:r>
      <w:r>
        <w:t xml:space="preserve"> </w:t>
      </w:r>
      <w:r>
        <w:t xml:space="preserve">arêtes) révèle une concentration commerciale forte : deux pivots, le réseau</w:t>
      </w:r>
      <w:r>
        <w:t xml:space="preserve"> </w:t>
      </w:r>
      <w:r>
        <w:t xml:space="preserve">interne Angelotti Promotion et le prescripteur externe Valoriciel,</w:t>
      </w:r>
      <w:r>
        <w:t xml:space="preserve"> </w:t>
      </w:r>
      <w:r>
        <w:t xml:space="preserve">concentrent à eux deux 51,6 % des dossiers attribués et les deux plus fortes</w:t>
      </w:r>
      <w:r>
        <w:t xml:space="preserve"> </w:t>
      </w:r>
      <w:r>
        <w:t xml:space="preserve">intermédiarités du réseau (Figure 14) — une dépendance commerciale</w:t>
      </w:r>
      <w:r>
        <w:t xml:space="preserve"> </w:t>
      </w:r>
      <w:r>
        <w:t xml:space="preserve">caractérisée, dont la défaillance toucherait la quasi-totalité des</w:t>
      </w:r>
      <w:r>
        <w:t xml:space="preserve"> </w:t>
      </w:r>
      <w:r>
        <w:t xml:space="preserve">opérations concernées. Le risque n’est pas uniforme entre ces deux pivots :</w:t>
      </w:r>
      <w:r>
        <w:t xml:space="preserve"> </w:t>
      </w:r>
      <w:r>
        <w:t xml:space="preserve">Valoriciel désiste 29,6 % de ses dossiers, contre 9,0 % pour le réseau</w:t>
      </w:r>
      <w:r>
        <w:t xml:space="preserve"> </w:t>
      </w:r>
      <w:r>
        <w:t xml:space="preserve">interne ; en moyenne, les dix vendeurs les plus centraux désistent même</w:t>
      </w:r>
      <w:r>
        <w:t xml:space="preserve"> </w:t>
      </w:r>
      <w:r>
        <w:t xml:space="preserve">légèrement moins (16,9 %) que les vendeurs périphériques (20,2 %) — la</w:t>
      </w:r>
      <w:r>
        <w:t xml:space="preserve"> </w:t>
      </w:r>
      <w:r>
        <w:t xml:space="preserve">centralité en elle-même n’est pas le facteur de risque, c’est la dispersion</w:t>
      </w:r>
      <w:r>
        <w:t xml:space="preserve"> </w:t>
      </w:r>
      <w:r>
        <w:t xml:space="preserve">entre pivots qui compte.</w:t>
      </w:r>
    </w:p>
    <w:p>
      <w:pPr>
        <w:pStyle w:val="CaptionedFigure"/>
      </w:pPr>
      <w:r>
        <w:drawing>
          <wp:inline>
            <wp:extent cx="5334000" cy="4114036"/>
            <wp:effectExtent b="0" l="0" r="0" t="0"/>
            <wp:docPr descr="Figure 14 — Réseau de commercialisation vendeurs-opérations : taille des nœuds proportionnelle au nombre de dossiers, couleur par communauté (notebook 06)." title="" id="73" name="Picture"/>
            <a:graphic>
              <a:graphicData uri="http://schemas.openxmlformats.org/drawingml/2006/picture">
                <pic:pic>
                  <pic:nvPicPr>
                    <pic:cNvPr descr="figures_memoire/06_texte_et_reseau_cell35_img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 — Réseau de commercialisation vendeurs-opérations : taille des nœuds proportionnelle au nombre de dossiers, couleur par communauté (notebook 06).</w:t>
      </w:r>
    </w:p>
    <w:bookmarkEnd w:id="75"/>
    <w:bookmarkEnd w:id="76"/>
    <w:bookmarkStart w:id="92" w:name="plateforme-streamlit"/>
    <w:p>
      <w:pPr>
        <w:pStyle w:val="Heading2"/>
      </w:pPr>
      <w:r>
        <w:t xml:space="preserve">5. Plateforme Streamlit</w:t>
      </w:r>
    </w:p>
    <w:p>
      <w:pPr>
        <w:pStyle w:val="FirstParagraph"/>
      </w:pPr>
      <w:r>
        <w:t xml:space="preserve">Les six notebooks se referment sur une plateforme,</w:t>
      </w:r>
      <w:r>
        <w:t xml:space="preserve"> </w:t>
      </w:r>
      <w:r>
        <w:rPr>
          <w:rStyle w:val="VerbatimChar"/>
        </w:rPr>
        <w:t xml:space="preserve">plateforme/app.py</w:t>
      </w:r>
      <w:r>
        <w:t xml:space="preserve">, qui</w:t>
      </w:r>
      <w:r>
        <w:t xml:space="preserve"> </w:t>
      </w:r>
      <w:r>
        <w:t xml:space="preserve">restitue leurs résultats à la direction financière du Groupe Angelotti. Sa</w:t>
      </w:r>
      <w:r>
        <w:t xml:space="preserve"> </w:t>
      </w:r>
      <w:r>
        <w:t xml:space="preserve">conception a changé une fois en cours de projet : la première version,</w:t>
      </w:r>
      <w:r>
        <w:t xml:space="preserve"> </w:t>
      </w:r>
      <w:r>
        <w:t xml:space="preserve">construite dans le vocabulaire des notebooks (F1, R², coefficients), a reçu</w:t>
      </w:r>
      <w:r>
        <w:t xml:space="preserve"> </w:t>
      </w:r>
      <w:r>
        <w:t xml:space="preserve">un retour clair du commanditaire — trop « data science » pour ses</w:t>
      </w:r>
      <w:r>
        <w:t xml:space="preserve"> </w:t>
      </w:r>
      <w:r>
        <w:t xml:space="preserve">destinataires. Je l’ai refondue en langage métier : les métriques de</w:t>
      </w:r>
      <w:r>
        <w:t xml:space="preserve"> </w:t>
      </w:r>
      <w:r>
        <w:t xml:space="preserve">validation restent dans les notebooks, l’écran n’affiche que des décisions</w:t>
      </w:r>
      <w:r>
        <w:t xml:space="preserve"> </w:t>
      </w:r>
      <w:r>
        <w:t xml:space="preserve">possibles (niveau d’alerte, prix de marché estimé, sensibilité de la demande</w:t>
      </w:r>
      <w:r>
        <w:t xml:space="preserve"> </w:t>
      </w:r>
      <w:r>
        <w:t xml:space="preserve">au coût du crédit). Le périmètre a été restreint dans le même mouvement aux</w:t>
      </w:r>
      <w:r>
        <w:t xml:space="preserve"> </w:t>
      </w:r>
      <w:r>
        <w:t xml:space="preserve">147 opérations de</w:t>
      </w:r>
      <w:r>
        <w:t xml:space="preserve"> </w:t>
      </w:r>
      <w:r>
        <w:rPr>
          <w:bCs/>
          <w:b/>
        </w:rPr>
        <w:t xml:space="preserve">promotion</w:t>
      </w:r>
      <w:r>
        <w:t xml:space="preserve"> </w:t>
      </w:r>
      <w:r>
        <w:t xml:space="preserve">du portefeuille (</w:t>
      </w:r>
      <w:r>
        <w:rPr>
          <w:rStyle w:val="VerbatimChar"/>
        </w:rPr>
        <w:t xml:space="preserve">operations.activite = 'Promotion'</w:t>
      </w:r>
      <w:r>
        <w:t xml:space="preserve">) : l’aménagement foncier (120 opérations), dont la logique</w:t>
      </w:r>
      <w:r>
        <w:t xml:space="preserve"> </w:t>
      </w:r>
      <w:r>
        <w:t xml:space="preserve">économique est différente, en est exclu — les notebooks, eux, conservent les</w:t>
      </w:r>
      <w:r>
        <w:t xml:space="preserve"> </w:t>
      </w:r>
      <w:r>
        <w:t xml:space="preserve">267 opérations, car la distinction promotion/aménagement y est un résultat</w:t>
      </w:r>
      <w:r>
        <w:t xml:space="preserve"> </w:t>
      </w:r>
      <w:r>
        <w:t xml:space="preserve">d’analyse (la typologie du notebook 02) plutôt qu’un filtre a priori. Le</w:t>
      </w:r>
      <w:r>
        <w:t xml:space="preserve"> </w:t>
      </w:r>
      <w:r>
        <w:t xml:space="preserve">modèle de risque de marge, entraîné sur toutes les activités du portefeuille,</w:t>
      </w:r>
      <w:r>
        <w:t xml:space="preserve"> </w:t>
      </w:r>
      <w:r>
        <w:t xml:space="preserve">ne score à l’écran que les lignes de promotion.</w:t>
      </w:r>
    </w:p>
    <w:p>
      <w:pPr>
        <w:pStyle w:val="BodyText"/>
      </w:pPr>
      <w:r>
        <w:t xml:space="preserve">L’application compte cinq pages, chacune vérifiée sans exception par des</w:t>
      </w:r>
      <w:r>
        <w:t xml:space="preserve"> </w:t>
      </w:r>
      <w:r>
        <w:t xml:space="preserve">tests automatisés (</w:t>
      </w:r>
      <w:r>
        <w:rPr>
          <w:rStyle w:val="VerbatimChar"/>
        </w:rPr>
        <w:t xml:space="preserve">AppTest</w:t>
      </w:r>
      <w:r>
        <w:t xml:space="preserve"> </w:t>
      </w:r>
      <w:r>
        <w:t xml:space="preserve">de Streamlit), et que j’ai re-vérifiées en</w:t>
      </w:r>
      <w:r>
        <w:t xml:space="preserve"> </w:t>
      </w:r>
      <w:r>
        <w:t xml:space="preserve">exécutant l’application dans son intégralité au moment de rédiger ce</w:t>
      </w:r>
      <w:r>
        <w:t xml:space="preserve"> </w:t>
      </w:r>
      <w:r>
        <w:t xml:space="preserve">chapitre.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Vue d’ensemble</w:t>
      </w:r>
      <w:r>
        <w:t xml:space="preserve"> </w:t>
      </w:r>
      <w:r>
        <w:t xml:space="preserve">synthétise le portefeuille de 147 opérations de</w:t>
      </w:r>
      <w:r>
        <w:t xml:space="preserve"> </w:t>
      </w:r>
      <w:r>
        <w:t xml:space="preserve">promotion : 421 lots principaux en stock, un rythme de vente récent de 4,8</w:t>
      </w:r>
      <w:r>
        <w:t xml:space="preserve"> </w:t>
      </w:r>
      <w:r>
        <w:t xml:space="preserve">réservations par mois et par opération, un taux de crédit habitat de</w:t>
      </w:r>
      <w:r>
        <w:t xml:space="preserve"> </w:t>
      </w:r>
      <w:r>
        <w:t xml:space="preserve">3,11 %, et un tableau des cinq opérations à examiner en priorité selon leur</w:t>
      </w:r>
      <w:r>
        <w:t xml:space="preserve"> </w:t>
      </w:r>
      <w:r>
        <w:t xml:space="preserve">niveau d’alerte (Figure 15).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e 15 — Page « Vue d’ensemble » de la plateforme Copilote Financier." title="" id="78" name="Picture"/>
            <a:graphic>
              <a:graphicData uri="http://schemas.openxmlformats.org/drawingml/2006/picture">
                <pic:pic>
                  <pic:nvPicPr>
                    <pic:cNvPr descr="figures_memoire/plateforme_01_vue_densembl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 — Page « Vue d’ensemble » de la plateforme Copilote Financier.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Alertes marge</w:t>
      </w:r>
      <w:r>
        <w:t xml:space="preserve"> </w:t>
      </w:r>
      <w:r>
        <w:t xml:space="preserve">reprend, en langage métier, le score de risque</w:t>
      </w:r>
      <w:r>
        <w:t xml:space="preserve"> </w:t>
      </w:r>
      <w:r>
        <w:t xml:space="preserve">sérialisé par le notebook 03 : sur les 68 opérations en cours suffisamment</w:t>
      </w:r>
      <w:r>
        <w:t xml:space="preserve"> </w:t>
      </w:r>
      <w:r>
        <w:t xml:space="preserve">engagées, 10 sont en alerte, 2 à surveiller et 56 conformes ; chaque</w:t>
      </w:r>
      <w:r>
        <w:t xml:space="preserve"> </w:t>
      </w:r>
      <w:r>
        <w:t xml:space="preserve">opération peut être examinée en détail, avec la liste des postes budgétaires</w:t>
      </w:r>
      <w:r>
        <w:t xml:space="preserve"> </w:t>
      </w:r>
      <w:r>
        <w:t xml:space="preserve">effectivement en dépassement, en euros (Figure 16).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e 16 — Page « Alertes marge », avec détail des postes en dépassement d’une opération sélectionnée." title="" id="81" name="Picture"/>
            <a:graphic>
              <a:graphicData uri="http://schemas.openxmlformats.org/drawingml/2006/picture">
                <pic:pic>
                  <pic:nvPicPr>
                    <pic:cNvPr descr="figures_memoire/plateforme_02_alertes_mar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 — Page « Alertes marge », avec détail des postes en dépassement d’une opération sélectionnée.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Rythme de vente</w:t>
      </w:r>
      <w:r>
        <w:t xml:space="preserve"> </w:t>
      </w:r>
      <w:r>
        <w:t xml:space="preserve">transpose le modèle à effets aléatoires du</w:t>
      </w:r>
      <w:r>
        <w:t xml:space="preserve"> </w:t>
      </w:r>
      <w:r>
        <w:t xml:space="preserve">notebook 04 en simulateur : un curseur sur le taux des crédits habitat 2026</w:t>
      </w:r>
      <w:r>
        <w:t xml:space="preserve"> </w:t>
      </w:r>
      <w:r>
        <w:t xml:space="preserve">traduit immédiatement l’élasticité estimée (−19 % de réservations par point</w:t>
      </w:r>
      <w:r>
        <w:t xml:space="preserve"> </w:t>
      </w:r>
      <w:r>
        <w:t xml:space="preserve">de taux) en rythme attendu et en volume de réservations sur un an pour les</w:t>
      </w:r>
      <w:r>
        <w:t xml:space="preserve"> </w:t>
      </w:r>
      <w:r>
        <w:t xml:space="preserve">opérations en cours de commercialisation, complété par la trajectoire</w:t>
      </w:r>
      <w:r>
        <w:t xml:space="preserve"> </w:t>
      </w:r>
      <w:r>
        <w:t xml:space="preserve">d’écoulement sigmoïde d’un programme choisi par l’utilisateur (Figure 17).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e 17 — Page « Rythme de vente » : simulateur de scénario de taux et trajectoire d’écoulement d’un programme." title="" id="84" name="Picture"/>
            <a:graphic>
              <a:graphicData uri="http://schemas.openxmlformats.org/drawingml/2006/picture">
                <pic:pic>
                  <pic:nvPicPr>
                    <pic:cNvPr descr="figures_memoire/plateforme_03_rythme_de_vent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 — Page « Rythme de vente » : simulateur de scénario de taux et trajectoire d’écoulement d’un programme.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Pilotage des prix</w:t>
      </w:r>
      <w:r>
        <w:t xml:space="preserve"> </w:t>
      </w:r>
      <w:r>
        <w:t xml:space="preserve">applique le modèle hédonique du notebook 05,</w:t>
      </w:r>
      <w:r>
        <w:t xml:space="preserve"> </w:t>
      </w:r>
      <w:r>
        <w:t xml:space="preserve">ré-entraîné au démarrage sur le seul périmètre de promotion et mis en cache :</w:t>
      </w:r>
      <w:r>
        <w:t xml:space="preserve"> </w:t>
      </w:r>
      <w:r>
        <w:t xml:space="preserve">sur les 127 appartements en stock évalués, 111 sont dans le marché, 4</w:t>
      </w:r>
      <w:r>
        <w:t xml:space="preserve"> </w:t>
      </w:r>
      <w:r>
        <w:t xml:space="preserve">au-dessus et 12 en dessous, avec une marge d’incertitude d’environ ±13 %</w:t>
      </w:r>
      <w:r>
        <w:t xml:space="preserve"> </w:t>
      </w:r>
      <w:r>
        <w:t xml:space="preserve">(un peu plus large que le RMSE de 11 % du notebook, la ré-estimation sur le</w:t>
      </w:r>
      <w:r>
        <w:t xml:space="preserve"> </w:t>
      </w:r>
      <w:r>
        <w:t xml:space="preserve">seul sous-ensemble promotion disposant de moins d’observations comparables).</w:t>
      </w:r>
      <w:r>
        <w:t xml:space="preserve"> </w:t>
      </w:r>
      <w:r>
        <w:t xml:space="preserve">Un simulateur d’ajustement de grille, qui redéploie directement la</w:t>
      </w:r>
      <w:r>
        <w:t xml:space="preserve"> </w:t>
      </w:r>
      <w:r>
        <w:t xml:space="preserve">résolution SLSQP sous contrainte du notebook 05, propose un prix par lot</w:t>
      </w:r>
      <w:r>
        <w:t xml:space="preserve"> </w:t>
      </w:r>
      <w:r>
        <w:t xml:space="preserve">pour un objectif de vente choisi par l’utilisateur, avec bornes de gestion à</w:t>
      </w:r>
      <w:r>
        <w:t xml:space="preserve"> </w:t>
      </w:r>
      <w:r>
        <w:t xml:space="preserve">−10 % et +5 % (Figure 18).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e 18 — Page « Pilotage des prix » : diagnostic du stock et simulateur d’ajustement de grille." title="" id="87" name="Picture"/>
            <a:graphic>
              <a:graphicData uri="http://schemas.openxmlformats.org/drawingml/2006/picture">
                <pic:pic>
                  <pic:nvPicPr>
                    <pic:cNvPr descr="figures_memoire/plateforme_04_pilotage_des_prix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 — Page « Pilotage des prix » : diagnostic du stock et simulateur d’ajustement de grille.</w:t>
      </w:r>
    </w:p>
    <w:p>
      <w:pPr>
        <w:pStyle w:val="BodyText"/>
      </w:pPr>
      <w:r>
        <w:t xml:space="preserve">La page</w:t>
      </w:r>
      <w:r>
        <w:t xml:space="preserve"> </w:t>
      </w:r>
      <w:r>
        <w:rPr>
          <w:bCs/>
          <w:b/>
        </w:rPr>
        <w:t xml:space="preserve">Qualité commerciale</w:t>
      </w:r>
      <w:r>
        <w:t xml:space="preserve">, enfin, restitue les deux résultats du</w:t>
      </w:r>
      <w:r>
        <w:t xml:space="preserve"> </w:t>
      </w:r>
      <w:r>
        <w:t xml:space="preserve">notebook 06 : la répartition des motifs de désistement par agence, avec une</w:t>
      </w:r>
      <w:r>
        <w:t xml:space="preserve"> </w:t>
      </w:r>
      <w:r>
        <w:t xml:space="preserve">alerte automatique sur Salon-de-Provence (90 % de motifs non renseignés,</w:t>
      </w:r>
      <w:r>
        <w:t xml:space="preserve"> </w:t>
      </w:r>
      <w:r>
        <w:t xml:space="preserve">retrouvée à l’identique de l’analyse par entropie et divergence KL), et un</w:t>
      </w:r>
      <w:r>
        <w:t xml:space="preserve"> </w:t>
      </w:r>
      <w:r>
        <w:t xml:space="preserve">moteur de recherche de dossiers similaires par similarité cosinus, pour</w:t>
      </w:r>
      <w:r>
        <w:t xml:space="preserve"> </w:t>
      </w:r>
      <w:r>
        <w:t xml:space="preserve">documenter un cas ou préparer une revue d’agence (Figure 19).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e 19 — Page « Qualité commerciale » : alerte de saisie par agence et moteur de recherche de dossiers similaires." title="" id="90" name="Picture"/>
            <a:graphic>
              <a:graphicData uri="http://schemas.openxmlformats.org/drawingml/2006/picture">
                <pic:pic>
                  <pic:nvPicPr>
                    <pic:cNvPr descr="figures_memoire/plateforme_05_qualite_commercial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 — Page « Qualité commerciale » : alerte de saisie par agence et moteur de recherche de dossiers similaires.</w:t>
      </w:r>
    </w:p>
    <w:p>
      <w:pPr>
        <w:pStyle w:val="BodyText"/>
      </w:pPr>
      <w:r>
        <w:t xml:space="preserve">Sur le plan technique, les modèles rapides (le modèle hédonique) sont</w:t>
      </w:r>
      <w:r>
        <w:t xml:space="preserve"> </w:t>
      </w:r>
      <w:r>
        <w:t xml:space="preserve">ré-entraînés à chaque démarrage de l’application, avec mise en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st.cache_resource</w:t>
      </w:r>
      <w:r>
        <w:t xml:space="preserve">), tandis que le classifieur de risque de marge, plus</w:t>
      </w:r>
      <w:r>
        <w:t xml:space="preserve"> </w:t>
      </w:r>
      <w:r>
        <w:t xml:space="preserve">coûteux à entraîner, est sérialisé une fois par le notebook 03 (</w:t>
      </w:r>
      <w:r>
        <w:rPr>
          <w:rStyle w:val="VerbatimChar"/>
        </w:rPr>
        <w:t xml:space="preserve">joblib</w:t>
      </w:r>
      <w:r>
        <w:t xml:space="preserve">) et</w:t>
      </w:r>
      <w:r>
        <w:t xml:space="preserve"> </w:t>
      </w:r>
      <w:r>
        <w:t xml:space="preserve">simplement chargé par la plateforme : tout reste régénérable depuis les</w:t>
      </w:r>
      <w:r>
        <w:t xml:space="preserve"> </w:t>
      </w:r>
      <w:r>
        <w:t xml:space="preserve">exports bruts, conformément à l’exigence de reproductibilité posée dès le</w:t>
      </w:r>
      <w:r>
        <w:t xml:space="preserve"> </w:t>
      </w:r>
      <w:r>
        <w:t xml:space="preserve">cadrage du projet. Les pages reprennent systématiquement les définitions SQL</w:t>
      </w:r>
      <w:r>
        <w:t xml:space="preserve"> </w:t>
      </w:r>
      <w:r>
        <w:t xml:space="preserve">des vues métier et les conventions anti-fuite des notebooks : une seule</w:t>
      </w:r>
      <w:r>
        <w:t xml:space="preserve"> </w:t>
      </w:r>
      <w:r>
        <w:t xml:space="preserve">source de vérité par indicateur, de l’exploration jusqu’à l’écran. Aucune</w:t>
      </w:r>
      <w:r>
        <w:t xml:space="preserve"> </w:t>
      </w:r>
      <w:r>
        <w:t xml:space="preserve">donnée nominative de client (nom, date de naissance) n’est affichée ni</w:t>
      </w:r>
      <w:r>
        <w:t xml:space="preserve"> </w:t>
      </w:r>
      <w:r>
        <w:t xml:space="preserve">utilisée comme variable, conformément à l’exigence de confidentialité.</w:t>
      </w:r>
    </w:p>
    <w:bookmarkEnd w:id="92"/>
    <w:bookmarkStart w:id="93" w:name="périmètre-et-limites"/>
    <w:p>
      <w:pPr>
        <w:pStyle w:val="Heading2"/>
      </w:pPr>
      <w:r>
        <w:t xml:space="preserve">6. Périmètre et limites</w:t>
      </w:r>
    </w:p>
    <w:p>
      <w:pPr>
        <w:pStyle w:val="FirstParagraph"/>
      </w:pPr>
      <w:r>
        <w:t xml:space="preserve">Je referme ce chapitre en assumant explicitement le périmètre et les limites</w:t>
      </w:r>
      <w:r>
        <w:t xml:space="preserve"> </w:t>
      </w:r>
      <w:r>
        <w:t xml:space="preserve">du Copilote Financier, plutôt que de les laisser implicites.</w:t>
      </w:r>
    </w:p>
    <w:p>
      <w:pPr>
        <w:pStyle w:val="BodyText"/>
      </w:pPr>
      <w:r>
        <w:t xml:space="preserve">Les données budgétaires sont une</w:t>
      </w:r>
      <w:r>
        <w:t xml:space="preserve"> </w:t>
      </w:r>
      <w:r>
        <w:rPr>
          <w:bCs/>
          <w:b/>
        </w:rPr>
        <w:t xml:space="preserve">photo à date d’export</w:t>
      </w:r>
      <w:r>
        <w:t xml:space="preserve"> </w:t>
      </w:r>
      <w:r>
        <w:t xml:space="preserve">: le système de</w:t>
      </w:r>
      <w:r>
        <w:t xml:space="preserve"> </w:t>
      </w:r>
      <w:r>
        <w:t xml:space="preserve">gestion ne conserve pas l’historique des révisions budgétaires, si bien que</w:t>
      </w:r>
      <w:r>
        <w:t xml:space="preserve"> </w:t>
      </w:r>
      <w:r>
        <w:t xml:space="preserve">le « taux de variation de marge » de l’axe A compare le budget initial au</w:t>
      </w:r>
      <w:r>
        <w:t xml:space="preserve"> </w:t>
      </w:r>
      <w:r>
        <w:t xml:space="preserve">réalisé (engagé et facturé) constaté à la date de l’export, et non une</w:t>
      </w:r>
      <w:r>
        <w:t xml:space="preserve"> </w:t>
      </w:r>
      <w:r>
        <w:t xml:space="preserve">trajectoire complète. Les opérations trop peu avancées (engagement inférieur</w:t>
      </w:r>
      <w:r>
        <w:t xml:space="preserve"> </w:t>
      </w:r>
      <w:r>
        <w:t xml:space="preserve">à 60 %) sont exclues de l’apprentissage supervisé de l’axe A pour cette</w:t>
      </w:r>
      <w:r>
        <w:t xml:space="preserve"> </w:t>
      </w:r>
      <w:r>
        <w:t xml:space="preserve">raison : les dépenses engagées n’y sont pas encore un bon estimateur des</w:t>
      </w:r>
      <w:r>
        <w:t xml:space="preserve"> </w:t>
      </w:r>
      <w:r>
        <w:t xml:space="preserve">dépenses finales.</w:t>
      </w:r>
    </w:p>
    <w:p>
      <w:pPr>
        <w:pStyle w:val="BodyText"/>
      </w:pPr>
      <w:r>
        <w:t xml:space="preserve">Le portefeuille compte 267 opérations, dont seulement 123 exploitables pour</w:t>
      </w:r>
      <w:r>
        <w:t xml:space="preserve"> </w:t>
      </w:r>
      <w:r>
        <w:t xml:space="preserve">l’apprentissage de l’axe A (engagement ≥ 60 %, marge budgétée &gt; 50 k€,</w:t>
      </w:r>
      <w:r>
        <w:t xml:space="preserve"> </w:t>
      </w:r>
      <w:r>
        <w:t xml:space="preserve">recettes budgétées &gt; 0) : un échantillon volontairement restreint, qui</w:t>
      </w:r>
      <w:r>
        <w:t xml:space="preserve"> </w:t>
      </w:r>
      <w:r>
        <w:t xml:space="preserve">justifie la préférence donnée à des modèles simples et régularisés, validés</w:t>
      </w:r>
      <w:r>
        <w:t xml:space="preserve"> </w:t>
      </w:r>
      <w:r>
        <w:t xml:space="preserve">systématiquement en validation croisée, et une lecture prudente des</w:t>
      </w:r>
      <w:r>
        <w:t xml:space="preserve"> </w:t>
      </w:r>
      <w:r>
        <w:t xml:space="preserve">intervalles de confiance — l’élasticité prix-demande de l’axe C, par</w:t>
      </w:r>
      <w:r>
        <w:t xml:space="preserve"> </w:t>
      </w:r>
      <w:r>
        <w:t xml:space="preserve">exemple, n’est pas significative en interne (p = 0,57) et j’ai choisi de le</w:t>
      </w:r>
      <w:r>
        <w:t xml:space="preserve"> </w:t>
      </w:r>
      <w:r>
        <w:t xml:space="preserve">dire plutôt que de le masquer derrière une valeur ponctuelle présentée sans</w:t>
      </w:r>
      <w:r>
        <w:t xml:space="preserve"> </w:t>
      </w:r>
      <w:r>
        <w:t xml:space="preserve">son incertitude.</w:t>
      </w:r>
    </w:p>
    <w:p>
      <w:pPr>
        <w:pStyle w:val="BodyText"/>
      </w:pPr>
      <w:r>
        <w:t xml:space="preserve">Les recommandations de prix de l’axe C sont des aides à la décision, non des</w:t>
      </w:r>
      <w:r>
        <w:t xml:space="preserve"> </w:t>
      </w:r>
      <w:r>
        <w:t xml:space="preserve">prix opposables : l’élasticité retenue (ε = −1) est estimée sur des données</w:t>
      </w:r>
      <w:r>
        <w:t xml:space="preserve"> </w:t>
      </w:r>
      <w:r>
        <w:t xml:space="preserve">historiques agrégées et appliquée à des lots individuels, et les</w:t>
      </w:r>
      <w:r>
        <w:t xml:space="preserve"> </w:t>
      </w:r>
      <w:r>
        <w:t xml:space="preserve">interactions concurrentielles avec des programmes voisins ne sont pas</w:t>
      </w:r>
      <w:r>
        <w:t xml:space="preserve"> </w:t>
      </w:r>
      <w:r>
        <w:t xml:space="preserve">modélisées. De même, les scénarios de taux de l’axe B ignorent</w:t>
      </w:r>
      <w:r>
        <w:t xml:space="preserve"> </w:t>
      </w:r>
      <w:r>
        <w:t xml:space="preserve">l’incertitude propre à la prévision des taux et de la confiance des ménages</w:t>
      </w:r>
      <w:r>
        <w:t xml:space="preserve"> </w:t>
      </w:r>
      <w:r>
        <w:t xml:space="preserve">eux-mêmes — seule l’incertitude de la trajectoire ARIMA, à taux fixé, est</w:t>
      </w:r>
      <w:r>
        <w:t xml:space="preserve"> </w:t>
      </w:r>
      <w:r>
        <w:t xml:space="preserve">représentée par l’intervalle de confiance affiché.</w:t>
      </w:r>
    </w:p>
    <w:p>
      <w:pPr>
        <w:pStyle w:val="BodyText"/>
      </w:pPr>
      <w:r>
        <w:t xml:space="preserve">Enfin, le périmètre de la plateforme (147 opérations de promotion) est</w:t>
      </w:r>
      <w:r>
        <w:t xml:space="preserve"> </w:t>
      </w:r>
      <w:r>
        <w:t xml:space="preserve">volontairement plus étroit que celui des notebooks (267 opérations, toutes</w:t>
      </w:r>
      <w:r>
        <w:t xml:space="preserve"> </w:t>
      </w:r>
      <w:r>
        <w:t xml:space="preserve">activités) : ce choix, issu d’un retour direct du commanditaire sur la</w:t>
      </w:r>
      <w:r>
        <w:t xml:space="preserve"> </w:t>
      </w:r>
      <w:r>
        <w:t xml:space="preserve">lisibilité de l’outil pour son usage métier, signifie que l’activité</w:t>
      </w:r>
      <w:r>
        <w:t xml:space="preserve"> </w:t>
      </w:r>
      <w:r>
        <w:t xml:space="preserve">d’aménagement foncier, bien que modélisée et analysée dans les notebooks</w:t>
      </w:r>
      <w:r>
        <w:t xml:space="preserve"> </w:t>
      </w:r>
      <w:r>
        <w:t xml:space="preserve">(elle constitue notamment deux des quatre types de la typologie du notebook</w:t>
      </w:r>
      <w:r>
        <w:t xml:space="preserve"> </w:t>
      </w:r>
      <w:r>
        <w:t xml:space="preserve">02), n’est aujourd’hui pas pilotée par le Copilote à l’écran. Étendre la</w:t>
      </w:r>
      <w:r>
        <w:t xml:space="preserve"> </w:t>
      </w:r>
      <w:r>
        <w:t xml:space="preserve">plateforme à ce second métier, dont la dynamique de marge diffère</w:t>
      </w:r>
      <w:r>
        <w:t xml:space="preserve"> </w:t>
      </w:r>
      <w:r>
        <w:t xml:space="preserve">sensiblement de la promotion, est le prolongement naturel de ce travail.</w:t>
      </w:r>
    </w:p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Copilote Financier — un outil d’aide à la décision pour la direction financière du Groupe Angelotti</dc:title>
  <dc:creator/>
  <cp:keywords/>
  <dcterms:created xsi:type="dcterms:W3CDTF">2026-08-15T17:56:36Z</dcterms:created>
  <dcterms:modified xsi:type="dcterms:W3CDTF">2026-08-15T17:56:36Z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