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CRM Vadimm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 et de leurs tranches, il restait à reprendre les données commerciales, et en</w:t>
      </w:r>
      <w:r>
        <w:t xml:space="preserve"> </w:t>
      </w:r>
      <w:r>
        <w:t xml:space="preserve">premier lieu les clients. Dans SPO (Suivi des Programmes Opérationnels),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volume, comparable à celui des 283 opérations du périmètre</w:t>
      </w:r>
      <w:r>
        <w:t xml:space="preserve"> </w:t>
      </w:r>
      <w:r>
        <w:t xml:space="preserve">de migration engagé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par objet rattaché. Six d’entre eux correspondent aux six feuilles de sortie de mon fichier,</w:t>
      </w:r>
      <w:r>
        <w:t xml:space="preserve"> </w:t>
      </w:r>
      <w:r>
        <w:t xml:space="preserve">les deux autres, les RIB et les sites web, n’étant pas alimentés par cette reprise.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1 602 lignes de départ à 1 434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et une ligne portant un code SPO</w:t>
      </w:r>
      <w:r>
        <w:rPr>
          <w:bCs/>
          <w:b/>
        </w:rPr>
        <w:t xml:space="preserve"> </w:t>
      </w:r>
      <w:r>
        <w:rPr>
          <w:bCs/>
          <w:b/>
        </w:rPr>
        <w:t xml:space="preserve">dans les colonnes de rapprochement. À insérer ici, avec renumérotation des figures</w:t>
      </w:r>
      <w:r>
        <w:rPr>
          <w:bCs/>
          <w:b/>
        </w:rPr>
        <w:t xml:space="preserve"> </w:t>
      </w:r>
      <w:r>
        <w:rPr>
          <w:bCs/>
          <w:b/>
        </w:rPr>
        <w:t xml:space="preserve">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1 434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Ces trois points relèvent de l’ingénierie des données plus que de la</w:t>
      </w:r>
      <w:r>
        <w:t xml:space="preserve"> </w:t>
      </w:r>
      <w:r>
        <w:t xml:space="preserve">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2026-08-18T07:24:30Z</dcterms:created>
  <dcterms:modified xsi:type="dcterms:W3CDTF">2026-08-18T07:24:30Z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