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système historique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immobilières, de leurs tranches et de leurs budgets, il restait à reprendre les données</w:t>
      </w:r>
      <w:r>
        <w:t xml:space="preserve"> </w:t>
      </w:r>
      <w:r>
        <w:t xml:space="preserve">commerciales, et en premier lieu les clients. Dans SPO, ces clients sont désignés par le</w:t>
      </w:r>
      <w:r>
        <w:t xml:space="preserve"> </w:t>
      </w:r>
      <w:r>
        <w:t xml:space="preserve">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 acquéreur, une</w:t>
      </w:r>
      <w:r>
        <w:t xml:space="preserve"> </w:t>
      </w:r>
      <w:r>
        <w:t xml:space="preserve">société, un prescripteur ou un fournisseur,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d’une extraction de toutes les ventes enregistrées. Cette extraction comptait</w:t>
      </w:r>
      <w:r>
        <w:t xml:space="preserve"> </w:t>
      </w:r>
      <w:r>
        <w:rPr>
          <w:bCs/>
          <w:b/>
        </w:rPr>
        <w:t xml:space="preserve">1 602 lignes</w:t>
      </w:r>
      <w:r>
        <w:t xml:space="preserve">, auxquelles s’ajoutait une seconde extraction, réalisée avec MyReport</w:t>
      </w:r>
      <w:r>
        <w:t xml:space="preserve"> </w:t>
      </w:r>
      <w:r>
        <w:t xml:space="preserve">Builder, portant les coordonnées de contact des acquéreurs et de leurs co-acquéreurs :</w:t>
      </w:r>
      <w:r>
        <w:t xml:space="preserve"> </w:t>
      </w:r>
      <w:r>
        <w:t xml:space="preserve">adresses postales, courriels et numéros de téléphone.</w:t>
      </w:r>
    </w:p>
    <w:p>
      <w:pPr>
        <w:pStyle w:val="BodyText"/>
      </w:pPr>
      <w:r>
        <w:t xml:space="preserve">La difficulté n’était pas la volumétrie, qui reste modeste au regard des 283 opérations</w:t>
      </w:r>
      <w:r>
        <w:t xml:space="preserve"> </w:t>
      </w:r>
      <w:r>
        <w:t xml:space="preserve">traitées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13 000 tiers y avaient déjà été créés, soit par des saisies manuelles réalisées par les</w:t>
      </w:r>
      <w:r>
        <w:t xml:space="preserve"> </w:t>
      </w:r>
      <w:r>
        <w:t xml:space="preserve">équipes commerciales depuis le démarrage de l’outil, soit par d’autres canaux d’alimentation.</w:t>
      </w:r>
      <w:r>
        <w:t xml:space="preserve"> </w:t>
      </w:r>
      <w:r>
        <w:t xml:space="preserve">Injecter mes 1 602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13 000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manière à ce que la décision d’importer ou non une ligne soit calculée et non prise au</w:t>
      </w:r>
      <w:r>
        <w:t xml:space="preserve"> </w:t>
      </w:r>
      <w:r>
        <w:t xml:space="preserve">cas par 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1 557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1 602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pour les tiers, les représentants, les adresses, les courriels, les téléphones et les rôles.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l’apport</w:t>
      </w:r>
      <w:r>
        <w:t xml:space="preserve"> </w:t>
      </w:r>
      <w:r>
        <w:t xml:space="preserve">méthodologique de ce travail, et ce sont eux qui font la différence entre un simple fichier</w:t>
      </w:r>
      <w:r>
        <w:t xml:space="preserve"> </w:t>
      </w:r>
      <w:r>
        <w:t xml:space="preserve">de mise en forme et un véritable outil de reprise.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que deux personnes</w:t>
      </w:r>
      <w:r>
        <w:t xml:space="preserve"> </w:t>
      </w:r>
      <w:r>
        <w:t xml:space="preserve">homonymes nées le même jour à la même adresse sont, en pratique, la même personne.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 du dossier de vente,</w:t>
      </w:r>
      <w:r>
        <w:t xml:space="preserve"> </w:t>
      </w:r>
      <w:r>
        <w:t xml:space="preserve">désigné ADV dans nos extractions, complétés du nom et du prénom du co-acquéreur, désigné</w:t>
      </w:r>
      <w:r>
        <w:t xml:space="preserve"> </w:t>
      </w:r>
      <w:r>
        <w:t xml:space="preserve">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 ; l’adresse ajoute une sécurité pour les cas</w:t>
      </w:r>
      <w:r>
        <w:t xml:space="preserve"> </w:t>
      </w:r>
      <w:r>
        <w:t xml:space="preserve">où elle n’est pas renseignée de façon fiable.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légal, il suffirait seul, mais il n’est pas toujours renseigné dans les données</w:t>
      </w:r>
      <w:r>
        <w:t xml:space="preserve"> </w:t>
      </w:r>
      <w:r>
        <w:t xml:space="preserve">historiques : la raison sociale prend alors le relais.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1 474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1 602 lignes</w:t>
      </w:r>
      <w:r>
        <w:t xml:space="preserve"> </w:t>
      </w:r>
      <w:r>
        <w:t xml:space="preserve">brutes issues de Vadimm, la déduplication interne en écarte 128 qui correspondent à des</w:t>
      </w:r>
      <w:r>
        <w:t xml:space="preserve"> </w:t>
      </w:r>
      <w:r>
        <w:t xml:space="preserve">achats répétés, ramenant le total à 1 474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1 434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96045"/>
            <wp:effectExtent b="0" l="0" r="0" t="0"/>
            <wp:docPr descr="De 1 602 lignes brutes à 1 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9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1 602 lignes brutes à 1 434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dont</w:t>
      </w:r>
      <w:r>
        <w:t xml:space="preserve"> </w:t>
      </w:r>
      <w:r>
        <w:t xml:space="preserve">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1 434 lignes pour la liste</w:t>
      </w:r>
      <w:r>
        <w:t xml:space="preserve"> </w:t>
      </w:r>
      <w:r>
        <w:t xml:space="preserve">maîtresse des tiers et autant pour l’attribution du rôle « Client », mais 1 871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une ligne portant un code SPO dans</w:t>
      </w:r>
      <w:r>
        <w:rPr>
          <w:bCs/>
          <w:b/>
        </w:rPr>
        <w:t xml:space="preserve"> </w:t>
      </w:r>
      <w:r>
        <w:rPr>
          <w:bCs/>
          <w:b/>
        </w:rPr>
        <w:t xml:space="preserve">les colonnes de matching, et le panneau de contrôle avec ses compteurs. À insérer ici, avec</w:t>
      </w:r>
      <w:r>
        <w:rPr>
          <w:bCs/>
          <w:b/>
        </w:rPr>
        <w:t xml:space="preserve"> </w:t>
      </w:r>
      <w:r>
        <w:rPr>
          <w:bCs/>
          <w:b/>
        </w:rPr>
        <w:t xml:space="preserve">renumérotation des figures 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qu’aucune documentation ne mentionnait et que j’ai</w:t>
      </w:r>
      <w:r>
        <w:t xml:space="preserve"> </w:t>
      </w:r>
      <w:r>
        <w:t xml:space="preserve">découvertes par rejets successifs.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</w:t>
      </w:r>
      <w:r>
        <w:t xml:space="preserve"> </w:t>
      </w:r>
      <w:r>
        <w:t xml:space="preserve">configuration attendue par l’outil d’import ; toute autre combinaison produit un fichier</w:t>
      </w:r>
      <w:r>
        <w:t xml:space="preserve"> </w:t>
      </w:r>
      <w:r>
        <w:t xml:space="preserve">lu comme une colonne unique.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se soit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laissaient les coordonnées de contact vides.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Trois options s’offraient à moi.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deuxième, demander à l’éditeur</w:t>
      </w:r>
      <w:r>
        <w:t xml:space="preserve"> </w:t>
      </w:r>
      <w:r>
        <w:t xml:space="preserve">une évolution du format d’import, était sans rapport avec les délais du projet. La</w:t>
      </w:r>
      <w:r>
        <w:t xml:space="preserve"> </w:t>
      </w:r>
      <w:r>
        <w:t xml:space="preserve">troisième consistait à passer par l’API de SPO, que j’avais déjà pratiquée pour la reprise</w:t>
      </w:r>
      <w:r>
        <w:t xml:space="preserve"> </w:t>
      </w:r>
      <w:r>
        <w:t xml:space="preserve">des budgets au premier semestre. C’est celle que j’ai 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coordonnées présentes dans la feuille des coordonnées.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 que j’utilisais déjà pour mes</w:t>
      </w:r>
      <w:r>
        <w:t xml:space="preserve"> </w:t>
      </w:r>
      <w:r>
        <w:t xml:space="preserve">essais unitaires.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</w:t>
      </w:r>
      <w:r>
        <w:t xml:space="preserve"> </w:t>
      </w:r>
      <w:r>
        <w:t xml:space="preserve">correspondant aux cinq fichiers d’import de couples, afin que l’ordre d’exécution suive</w:t>
      </w:r>
      <w:r>
        <w:t xml:space="preserve"> </w:t>
      </w:r>
      <w:r>
        <w:t xml:space="preserve">exactement l’ordre de création.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ce projet m’a fait acquérir bien</w:t>
      </w:r>
      <w:r>
        <w:t xml:space="preserve"> </w:t>
      </w:r>
      <w:r>
        <w:t xml:space="preserve">plus que la précédente reprise.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1 434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1 602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1 434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 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1 434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Trois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insérer une ligne au milieu de la feuille pivot ou de la feuille de coordonnées,</w:t>
      </w:r>
      <w:r>
        <w:t xml:space="preserve"> </w:t>
      </w:r>
      <w:r>
        <w:t xml:space="preserve">ce qui décale toutes les références ; et trier la feuille pivot, ce qui détruit la logique</w:t>
      </w:r>
      <w:r>
        <w:t xml:space="preserve"> </w:t>
      </w:r>
      <w:r>
        <w:t xml:space="preserve">de rang, celle-ci étant calculée de façon cumulative sur l’ordre des lignes. Aucune de ces</w:t>
      </w:r>
      <w:r>
        <w:t xml:space="preserve"> </w:t>
      </w:r>
      <w:r>
        <w:t xml:space="preserve">trois manipulations ne produit de message d’erreur, les rendant d’autant plus</w:t>
      </w:r>
      <w:r>
        <w:t xml:space="preserve"> </w:t>
      </w:r>
      <w:r>
        <w:t xml:space="preserve">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60 000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opérations, les tranches et les budgets migrés</w:t>
      </w:r>
      <w:r>
        <w:t xml:space="preserve"> </w:t>
      </w:r>
      <w:r>
        <w:t xml:space="preserve">au premier semestre, les 1 434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Cependant, la donnée client est désormais</w:t>
      </w:r>
      <w:r>
        <w:t xml:space="preserve"> </w:t>
      </w:r>
      <w:r>
        <w:t xml:space="preserve">fiable, et c’est ce qui compte pour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 sont trois compétences d’ingénierie des données, et non de 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2026-08-18T07:18:45Z</dcterms:created>
  <dcterms:modified xsi:type="dcterms:W3CDTF">2026-08-18T07:18:45Z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