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</w:t>
      </w:r>
      <w:r>
        <w:t xml:space="preserve"> </w:t>
      </w:r>
      <w:r>
        <w:t xml:space="preserve">Copilote</w:t>
      </w:r>
      <w:r>
        <w:t xml:space="preserve"> </w:t>
      </w:r>
      <w:r>
        <w:t xml:space="preserve">Financier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65" w:name="le-copilote-financier"/>
    <w:p>
      <w:pPr>
        <w:pStyle w:val="Heading1"/>
      </w:pPr>
      <w:r>
        <w:t xml:space="preserve">2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2.1 Contexte</w:t>
      </w:r>
    </w:p>
    <w:p>
      <w:pPr>
        <w:numPr>
          <w:ilvl w:val="1"/>
          <w:numId w:val="1002"/>
        </w:numPr>
        <w:pStyle w:val="Compact"/>
      </w:pPr>
      <w:r>
        <w:t xml:space="preserve">2.1.1 Problème métier</w:t>
      </w:r>
    </w:p>
    <w:p>
      <w:pPr>
        <w:numPr>
          <w:ilvl w:val="2"/>
          <w:numId w:val="1003"/>
        </w:numPr>
        <w:pStyle w:val="Compact"/>
      </w:pPr>
      <w:r>
        <w:t xml:space="preserve">2.1.1.1 Besoins par axe et exigences non fonctionnelles</w:t>
      </w:r>
    </w:p>
    <w:p>
      <w:pPr>
        <w:numPr>
          <w:ilvl w:val="1"/>
          <w:numId w:val="1002"/>
        </w:numPr>
        <w:pStyle w:val="Compact"/>
      </w:pPr>
      <w:r>
        <w:t xml:space="preserve">2.1.2 Objectifs du dashboard</w:t>
      </w:r>
    </w:p>
    <w:p>
      <w:pPr>
        <w:numPr>
          <w:ilvl w:val="0"/>
          <w:numId w:val="1001"/>
        </w:numPr>
        <w:pStyle w:val="Compact"/>
      </w:pPr>
      <w:r>
        <w:t xml:space="preserve">2.2 Données disponibles</w:t>
      </w:r>
    </w:p>
    <w:p>
      <w:pPr>
        <w:numPr>
          <w:ilvl w:val="1"/>
          <w:numId w:val="1004"/>
        </w:numPr>
        <w:pStyle w:val="Compact"/>
      </w:pPr>
      <w:r>
        <w:t xml:space="preserve">2.2.1 Données internes</w:t>
      </w:r>
    </w:p>
    <w:p>
      <w:pPr>
        <w:numPr>
          <w:ilvl w:val="1"/>
          <w:numId w:val="1004"/>
        </w:numPr>
        <w:pStyle w:val="Compact"/>
      </w:pPr>
      <w:r>
        <w:t xml:space="preserve">2.2.2 Données externes</w:t>
      </w:r>
    </w:p>
    <w:p>
      <w:pPr>
        <w:numPr>
          <w:ilvl w:val="0"/>
          <w:numId w:val="1001"/>
        </w:numPr>
        <w:pStyle w:val="Compact"/>
      </w:pPr>
      <w:r>
        <w:t xml:space="preserve">2.3 Architecture technique</w:t>
      </w:r>
    </w:p>
    <w:p>
      <w:pPr>
        <w:numPr>
          <w:ilvl w:val="0"/>
          <w:numId w:val="1001"/>
        </w:numPr>
        <w:pStyle w:val="Compact"/>
      </w:pPr>
      <w:r>
        <w:t xml:space="preserve">2.4 Notebooks et résultats</w:t>
      </w:r>
    </w:p>
    <w:p>
      <w:pPr>
        <w:numPr>
          <w:ilvl w:val="1"/>
          <w:numId w:val="1005"/>
        </w:numPr>
        <w:pStyle w:val="Compact"/>
      </w:pPr>
      <w:r>
        <w:t xml:space="preserve">2.4.1 Exploration et nettoyage des données brutes</w:t>
      </w:r>
    </w:p>
    <w:p>
      <w:pPr>
        <w:numPr>
          <w:ilvl w:val="1"/>
          <w:numId w:val="1005"/>
        </w:numPr>
        <w:pStyle w:val="Compact"/>
      </w:pPr>
      <w:r>
        <w:t xml:space="preserve">2.4.2 SQL et Spark</w:t>
      </w:r>
    </w:p>
    <w:p>
      <w:pPr>
        <w:numPr>
          <w:ilvl w:val="1"/>
          <w:numId w:val="1005"/>
        </w:numPr>
        <w:pStyle w:val="Compact"/>
      </w:pPr>
      <w:r>
        <w:t xml:space="preserve">2.4.3 Axe A</w:t>
      </w:r>
    </w:p>
    <w:p>
      <w:pPr>
        <w:numPr>
          <w:ilvl w:val="1"/>
          <w:numId w:val="1005"/>
        </w:numPr>
        <w:pStyle w:val="Compact"/>
      </w:pPr>
      <w:r>
        <w:t xml:space="preserve">2.4.4 Axe B</w:t>
      </w:r>
    </w:p>
    <w:p>
      <w:pPr>
        <w:numPr>
          <w:ilvl w:val="1"/>
          <w:numId w:val="1005"/>
        </w:numPr>
        <w:pStyle w:val="Compact"/>
      </w:pPr>
      <w:r>
        <w:t xml:space="preserve">2.4.5 Axe C</w:t>
      </w:r>
    </w:p>
    <w:p>
      <w:pPr>
        <w:numPr>
          <w:ilvl w:val="1"/>
          <w:numId w:val="1005"/>
        </w:numPr>
        <w:pStyle w:val="Compact"/>
      </w:pPr>
      <w:r>
        <w:t xml:space="preserve">2.4.6 Signaux faibles (texte et réseau)</w:t>
      </w:r>
    </w:p>
    <w:p>
      <w:pPr>
        <w:numPr>
          <w:ilvl w:val="0"/>
          <w:numId w:val="1001"/>
        </w:numPr>
        <w:pStyle w:val="Compact"/>
      </w:pPr>
      <w:r>
        <w:t xml:space="preserve">2.5 Plateforme Streamlit</w:t>
      </w:r>
    </w:p>
    <w:p>
      <w:pPr>
        <w:numPr>
          <w:ilvl w:val="0"/>
          <w:numId w:val="1001"/>
        </w:numPr>
        <w:pStyle w:val="Compact"/>
      </w:pPr>
      <w:r>
        <w:t xml:space="preserve">2.6 Périmètre et limites</w:t>
      </w:r>
    </w:p>
    <w:p>
      <w:pPr>
        <w:numPr>
          <w:ilvl w:val="0"/>
          <w:numId w:val="1001"/>
        </w:numPr>
        <w:pStyle w:val="Compact"/>
      </w:pPr>
      <w:r>
        <w:t xml:space="preserve">2.7 Conclusion du chapitre et conclusion générale</w:t>
      </w:r>
    </w:p>
    <w:p>
      <w:pPr>
        <w:pStyle w:val="FirstParagraph"/>
      </w:pPr>
      <w:r>
        <w:t xml:space="preserve">Ce chapitre présente le projet de Data Science que j’annonçais en fin de mémoire de</w:t>
      </w:r>
      <w:r>
        <w:t xml:space="preserve"> </w:t>
      </w:r>
      <w:r>
        <w:t xml:space="preserve">mi-parcours : le « Copilote Financier », un outil d’aide à la décision construit sur les</w:t>
      </w:r>
      <w:r>
        <w:t xml:space="preserve"> </w:t>
      </w:r>
      <w:r>
        <w:t xml:space="preserve">données de gestion du groupe Angelotti pour sa direction financière. J’y expose d’abord le</w:t>
      </w:r>
      <w:r>
        <w:t xml:space="preserve"> </w:t>
      </w:r>
      <w:r>
        <w:t xml:space="preserve">besoin métier tel qu’il m’a été formulé, puis les données dont je disposais réellement,</w:t>
      </w:r>
      <w:r>
        <w:t xml:space="preserve"> </w:t>
      </w:r>
      <w:r>
        <w:t xml:space="preserve">l’architecture retenue pour les rendre exploitables, les trois axes d’analyse et leurs</w:t>
      </w:r>
      <w:r>
        <w:t xml:space="preserve"> </w:t>
      </w:r>
      <w:r>
        <w:t xml:space="preserve">résultats, la plateforme qui les restitue aux contrôleurs de gestion, et enfin les limites</w:t>
      </w:r>
      <w:r>
        <w:t xml:space="preserve"> </w:t>
      </w:r>
      <w:r>
        <w:t xml:space="preserve">que je considère comme faisant partie du livrable.</w:t>
      </w:r>
    </w:p>
    <w:p>
      <w:pPr>
        <w:pStyle w:val="BodyText"/>
      </w:pPr>
      <w:r>
        <w:t xml:space="preserve">Une décision a orienté tout le projet, et il vaut mieux l’énoncer d’emblée parce qu’elle</w:t>
      </w:r>
      <w:r>
        <w:t xml:space="preserve"> </w:t>
      </w:r>
      <w:r>
        <w:t xml:space="preserve">explique la forme de ce qui suit. La taille des données disponibles, 267 opérations et</w:t>
      </w:r>
      <w:r>
        <w:t xml:space="preserve"> </w:t>
      </w:r>
      <w:r>
        <w:t xml:space="preserve">quatre exports totalisant 32 Mo, ne justifie pas un empilement de modèles. J’ai donc</w:t>
      </w:r>
      <w:r>
        <w:t xml:space="preserve"> </w:t>
      </w:r>
      <w:r>
        <w:t xml:space="preserve">retenu un petit nombre de méthodes simples, chacune choisie pour une question précise et</w:t>
      </w:r>
      <w:r>
        <w:t xml:space="preserve"> </w:t>
      </w:r>
      <w:r>
        <w:t xml:space="preserve">validée sérieusement, plutôt qu’un catalogue d’algorithmes dont aucun n’aurait pu être</w:t>
      </w:r>
      <w:r>
        <w:t xml:space="preserve"> </w:t>
      </w:r>
      <w:r>
        <w:t xml:space="preserve">correctement évalué à cette échelle.</w:t>
      </w:r>
    </w:p>
    <w:bookmarkStart w:id="23" w:name="contexte"/>
    <w:p>
      <w:pPr>
        <w:pStyle w:val="Heading2"/>
      </w:pPr>
      <w:r>
        <w:t xml:space="preserve">2.1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dérives. Néanmoins, elle les suit opération par opération,</w:t>
      </w:r>
      <w:r>
        <w:t xml:space="preserve"> </w:t>
      </w:r>
      <w:r>
        <w:t xml:space="preserve">sur tableurs, sans vision transverse. Chaque contrôleur de gestion connaît très bien les</w:t>
      </w:r>
      <w:r>
        <w:t xml:space="preserve"> </w:t>
      </w:r>
      <w:r>
        <w:t xml:space="preserve">dossiers dont il a la charge ; personne ne dispose d’une vue d’ensemble permettant de dire,</w:t>
      </w:r>
      <w:r>
        <w:t xml:space="preserve"> </w:t>
      </w:r>
      <w:r>
        <w:t xml:space="preserve">à un instant donné, quelles opérations méritent l’attention en priorité. C’est ce manque</w:t>
      </w:r>
      <w:r>
        <w:t xml:space="preserve"> </w:t>
      </w:r>
      <w:r>
        <w:t xml:space="preserve">qui a motivé le projet.</w:t>
      </w:r>
    </w:p>
    <w:bookmarkStart w:id="21" w:name="problème-métier"/>
    <w:p>
      <w:pPr>
        <w:pStyle w:val="Heading3"/>
      </w:pPr>
      <w:r>
        <w:t xml:space="preserve">2.1.1 Problème métier</w:t>
      </w:r>
    </w:p>
    <w:p>
      <w:pPr>
        <w:pStyle w:val="FirstParagraph"/>
      </w:pPr>
      <w:r>
        <w:t xml:space="preserve">En échangeant avec la direction financière, j’ai identifié trois questions qui structurent</w:t>
      </w:r>
      <w:r>
        <w:t xml:space="preserve"> </w:t>
      </w:r>
      <w:r>
        <w:t xml:space="preserve">les revues de gestion et auxquelles les tableurs actuels ne répondent pas.</w:t>
      </w:r>
    </w:p>
    <w:p>
      <w:pPr>
        <w:pStyle w:val="BodyText"/>
      </w:pPr>
      <w:r>
        <w:t xml:space="preserve">La première porte sur la marge. Quelles opérations examiner en priorité, parce que leur</w:t>
      </w:r>
      <w:r>
        <w:t xml:space="preserve"> </w:t>
      </w:r>
      <w:r>
        <w:t xml:space="preserve">marge d’engagement dérive, et sur quels postes cette dérive se joue-t-elle, pour combien</w:t>
      </w:r>
      <w:r>
        <w:t xml:space="preserve"> </w:t>
      </w:r>
      <w:r>
        <w:t xml:space="preserve">d’euros ? La question suppose de comparer des dizaines d’opérations entre elles, ce</w:t>
      </w:r>
      <w:r>
        <w:t xml:space="preserve"> </w:t>
      </w:r>
      <w:r>
        <w:t xml:space="preserve">qu’aucun tableur individuel ne permet.</w:t>
      </w:r>
    </w:p>
    <w:p>
      <w:pPr>
        <w:pStyle w:val="BodyText"/>
      </w:pPr>
      <w:r>
        <w:t xml:space="preserve">La deuxième porte sur le rythme de vente. Quel volume de réservations budgéter pour 2026 ?</w:t>
      </w:r>
      <w:r>
        <w:t xml:space="preserve"> </w:t>
      </w:r>
      <w:r>
        <w:t xml:space="preserve">La période récente a montré à quel point la demande est sensible au coût du crédit : le</w:t>
      </w:r>
      <w:r>
        <w:t xml:space="preserve"> </w:t>
      </w:r>
      <w:r>
        <w:t xml:space="preserve">taux moyen des crédits habitat est passé d’environ 1,1 % à un pic de 3,6 % fin 2023, avant</w:t>
      </w:r>
      <w:r>
        <w:t xml:space="preserve"> </w:t>
      </w:r>
      <w:r>
        <w:t xml:space="preserve">de refluer vers 3,1 % mi-2026, et le rythme du groupe est tombé d’environ 150 à moins de</w:t>
      </w:r>
      <w:r>
        <w:t xml:space="preserve"> </w:t>
      </w:r>
      <w:r>
        <w:t xml:space="preserve">115 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 prix. Quels lots du stock faut-il repricer ? La question n’est</w:t>
      </w:r>
      <w:r>
        <w:t xml:space="preserve"> </w:t>
      </w:r>
      <w:r>
        <w:t xml:space="preserve">pas théorique, puisque 45 % des 2 157 désistements enregistrés ont pour motif un problème</w:t>
      </w:r>
      <w:r>
        <w:t xml:space="preserve"> </w:t>
      </w:r>
      <w:r>
        <w:t xml:space="preserve">de financement ou un refus de prêt, et que les remises sont aujourd’hui accordées au cas</w:t>
      </w:r>
      <w:r>
        <w:t xml:space="preserve"> </w:t>
      </w:r>
      <w:r>
        <w:t xml:space="preserve">par cas, sans grille ni justification chiffrée.</w:t>
      </w:r>
    </w:p>
    <w:p>
      <w:pPr>
        <w:pStyle w:val="BodyText"/>
      </w:pPr>
      <w:r>
        <w:t xml:space="preserve">Il faut souligner ce que ces trois questions ont en commun. Face à des besoins de ce type,</w:t>
      </w:r>
      <w:r>
        <w:t xml:space="preserve"> </w:t>
      </w:r>
      <w:r>
        <w:t xml:space="preserve">la tentation serait de partir sur un projet d’apprentissage automatique de grande ampleur.</w:t>
      </w:r>
      <w:r>
        <w:t xml:space="preserve"> </w:t>
      </w:r>
      <w:r>
        <w:t xml:space="preserve">C’est pourtant un problème de contrôle de gestion outillé par la donnée, et rien d’autre. Le matériau disponible se résume à 267 opérations et quatre exports Excel, soit</w:t>
      </w:r>
      <w:r>
        <w:t xml:space="preserve"> </w:t>
      </w:r>
      <w:r>
        <w:t xml:space="preserve">une photographie à date. Cette lucidité initiale sur la nature du problème a évité, je</w:t>
      </w:r>
      <w:r>
        <w:t xml:space="preserve"> </w:t>
      </w:r>
      <w:r>
        <w:t xml:space="preserve">crois, une bonne partie des erreurs que j’aurais pu commettre en cherchant à appliquer des</w:t>
      </w:r>
      <w:r>
        <w:t xml:space="preserve"> </w:t>
      </w:r>
      <w:r>
        <w:t xml:space="preserve">méthodes disproportionnées.</w:t>
      </w:r>
    </w:p>
    <w:bookmarkStart w:id="20" w:name="Xcacbc28e4963aea1e7cfa59f0a47a06bee732ec"/>
    <w:p>
      <w:pPr>
        <w:pStyle w:val="Heading4"/>
      </w:pPr>
      <w:r>
        <w:t xml:space="preserve">2.1.1.1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travail, et je les ai posées avant de</w:t>
      </w:r>
      <w:r>
        <w:t xml:space="preserve"> </w:t>
      </w:r>
      <w:r>
        <w:t xml:space="preserve">commencer plutôt qu’après coup.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 doit se reconstruire</w:t>
      </w:r>
      <w:r>
        <w:t xml:space="preserve"> </w:t>
      </w:r>
      <w:r>
        <w:t xml:space="preserve">depuis les exports bruts par un seul script, sans étape manuelle intermédiaire.</w:t>
      </w:r>
      <w:r>
        <w:t xml:space="preserve"> </w:t>
      </w:r>
      <w:r>
        <w:t xml:space="preserve">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 qui le</w:t>
      </w:r>
      <w:r>
        <w:t xml:space="preserve"> </w:t>
      </w:r>
      <w:r>
        <w:t xml:space="preserve">déterminent, faute de quoi un contrôleur de gestion n’a aucune raison de lui faire</w:t>
      </w:r>
      <w:r>
        <w:t xml:space="preserve"> </w:t>
      </w:r>
      <w:r>
        <w:t xml:space="preserve">confiance.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</w:t>
      </w:r>
      <w:r>
        <w:t xml:space="preserve"> </w:t>
      </w:r>
      <w:r>
        <w:t xml:space="preserve">dont on ne saurait pas mesurer la performance réelle.</w:t>
      </w:r>
    </w:p>
    <w:bookmarkEnd w:id="20"/>
    <w:bookmarkEnd w:id="21"/>
    <w:bookmarkStart w:id="22" w:name="objectifs-du-dashboard"/>
    <w:p>
      <w:pPr>
        <w:pStyle w:val="Heading3"/>
      </w:pPr>
      <w:r>
        <w:t xml:space="preserve">2.1.2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nous en avons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22"/>
    <w:bookmarkEnd w:id="23"/>
    <w:bookmarkStart w:id="26" w:name="données-disponibles"/>
    <w:p>
      <w:pPr>
        <w:pStyle w:val="Heading2"/>
      </w:pPr>
      <w:r>
        <w:t xml:space="preserve">2.2 Données disponibles</w:t>
      </w:r>
    </w:p>
    <w:bookmarkStart w:id="24" w:name="données-internes"/>
    <w:p>
      <w:pPr>
        <w:pStyle w:val="Heading3"/>
      </w:pPr>
      <w:r>
        <w:t xml:space="preserve">2.2.1 Données internes</w:t>
      </w:r>
    </w:p>
    <w:p>
      <w:pPr>
        <w:pStyle w:val="FirstParagraph"/>
      </w:pPr>
      <w:r>
        <w:t xml:space="preserve">Quatre exports du système de gestion constituent le point de départ du projet.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630"/>
        <w:gridCol w:w="2795"/>
        <w:gridCol w:w="1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 06_Informations Lots ». Malgré son nom, il ne contient</w:t>
      </w:r>
      <w:r>
        <w:t xml:space="preserve"> </w:t>
      </w:r>
      <w:r>
        <w:t xml:space="preserve">pas les lots : il ne porte que des dossiers désistés, 2 157 au motif « Désisté » et 7 au</w:t>
      </w:r>
      <w:r>
        <w:t xml:space="preserve"> </w:t>
      </w:r>
      <w:r>
        <w:t xml:space="preserve">motif « Résolution de vente 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 Budget &amp; EFR ». Il affiche 65 000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65 000 lignes se décomposent en 64 788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 appt »,</w:t>
      </w:r>
      <w:r>
        <w:t xml:space="preserve"> </w:t>
      </w:r>
      <w:r>
        <w:t xml:space="preserve">« Appartement » ou « stat 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24"/>
    <w:bookmarkStart w:id="25" w:name="données-externes"/>
    <w:p>
      <w:pPr>
        <w:pStyle w:val="Heading3"/>
      </w:pPr>
      <w:r>
        <w:t xml:space="preserve">2.2.2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européenne, de 2015 à 2026.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Eurostat, sur la même période.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et enrichi</w:t>
      </w:r>
      <w:r>
        <w:t xml:space="preserve"> </w:t>
      </w:r>
      <w:r>
        <w:t xml:space="preserve">d’une distance au littoral que j’ai calculée.</w:t>
      </w:r>
    </w:p>
    <w:bookmarkEnd w:id="25"/>
    <w:bookmarkEnd w:id="26"/>
    <w:bookmarkStart w:id="27" w:name="architecture-technique"/>
    <w:p>
      <w:pPr>
        <w:pStyle w:val="Heading2"/>
      </w:pPr>
      <w:r>
        <w:t xml:space="preserve">2.3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64 788 lignes</w:t>
      </w:r>
      <w:r>
        <w:t xml:space="preserve"> </w:t>
      </w:r>
      <w:r>
        <w:t xml:space="preserve">budgétaires, 14 123 lots, 14 428 dossiers de vente et 2 164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</w:t>
      </w:r>
      <w:r>
        <w:t xml:space="preserve"> </w:t>
      </w:r>
      <w:r>
        <w:t xml:space="preserve">exactement le problème que j’avais rencontré sur les reportings décrits dans mon mémoire de</w:t>
      </w:r>
      <w:r>
        <w:t xml:space="preserve"> </w:t>
      </w:r>
      <w:r>
        <w:t xml:space="preserve">mi-parcours, où la même notion pouvait être calculée différemment selon l’outil qui</w:t>
      </w:r>
      <w:r>
        <w:t xml:space="preserve"> </w:t>
      </w:r>
      <w:r>
        <w:t xml:space="preserve">l’interrogeait.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</w:t>
      </w:r>
    </w:p>
    <w:bookmarkEnd w:id="27"/>
    <w:bookmarkStart w:id="55" w:name="notebooks-et-résultats"/>
    <w:p>
      <w:pPr>
        <w:pStyle w:val="Heading2"/>
      </w:pPr>
      <w:r>
        <w:t xml:space="preserve">2.4 Notebooks et résultats</w:t>
      </w:r>
    </w:p>
    <w:bookmarkStart w:id="34" w:name="X602394daec039ef4331b05e21f2ad099f555b11"/>
    <w:p>
      <w:pPr>
        <w:pStyle w:val="Heading3"/>
      </w:pPr>
      <w:r>
        <w:t xml:space="preserve">2.4.1 Exploration et nettoyage des données brutes</w:t>
      </w:r>
    </w:p>
    <w:p>
      <w:pPr>
        <w:pStyle w:val="FirstParagraph"/>
      </w:pPr>
      <w:r>
        <w:t xml:space="preserve">Au-delà du nettoyage décrit en section 2.2,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interdisant d’appliquer</w:t>
      </w:r>
      <w:r>
        <w:t xml:space="preserve"> </w:t>
      </w:r>
      <w:r>
        <w:t xml:space="preserve">telle quelle une régression linéaire.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2.1 montre les deux distributions côte à</w:t>
      </w:r>
      <w:r>
        <w:t xml:space="preserve"> </w:t>
      </w:r>
      <w:r>
        <w:t xml:space="preserve">côte. C’est ce constat qui a conduit l’axe C à modéliser le logarithme du prix plutôt que</w:t>
      </w:r>
      <w:r>
        <w:t xml:space="preserve"> </w:t>
      </w:r>
      <w:r>
        <w:t xml:space="preserve">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29" name="Picture"/>
            <a:graphic>
              <a:graphicData uri="http://schemas.openxmlformats.org/drawingml/2006/picture">
                <pic:pic>
                  <pic:nvPicPr>
                    <pic:cNvPr descr="figures/fig_2_1_prix_m2_lo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à la fois l’intuition des équipes commerciales et tout ce que</w:t>
      </w:r>
      <w:r>
        <w:t xml:space="preserve"> </w:t>
      </w:r>
      <w:r>
        <w:t xml:space="preserve">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soutenant le volume</w:t>
      </w:r>
      <w:r>
        <w:t xml:space="preserve"> </w:t>
      </w:r>
      <w:r>
        <w:t xml:space="preserve">total de réservations même lorsque la demande par programme s’effondre. Rapportées</w:t>
      </w:r>
      <w:r>
        <w:t xml:space="preserve"> </w:t>
      </w:r>
      <w:r>
        <w:t xml:space="preserve">au nombre d’opérations actives, les réservations racontent l’inverse, comme le montre la</w:t>
      </w:r>
      <w:r>
        <w:t xml:space="preserve"> </w:t>
      </w:r>
      <w:r>
        <w:t xml:space="preserve">Figure 2.2 : la corrélation passe à -0,34 avec le taux d’intérêt et à +0,44 avec la</w:t>
      </w:r>
      <w:r>
        <w:t xml:space="preserve"> </w:t>
      </w:r>
      <w:r>
        <w:t xml:space="preserve">confiance des ménages. Tout l’axe B repose sur cette correction. Sans elle, j’aurais conclu</w:t>
      </w:r>
      <w:r>
        <w:t xml:space="preserve"> </w:t>
      </w:r>
      <w:r>
        <w:t xml:space="preserve">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32" name="Picture"/>
            <a:graphic>
              <a:graphicData uri="http://schemas.openxmlformats.org/drawingml/2006/picture">
                <pic:pic>
                  <pic:nvPicPr>
                    <pic:cNvPr descr="figures/fig_2_2_intensite_v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– Intensité de vente, mesurée en réservations par opération active : l’effet de la remontée des taux apparaît une fois l’effet de portefeuille neutralisé</w:t>
      </w:r>
    </w:p>
    <w:bookmarkEnd w:id="34"/>
    <w:bookmarkStart w:id="35" w:name="sql-et-spark"/>
    <w:p>
      <w:pPr>
        <w:pStyle w:val="Heading3"/>
      </w:pPr>
      <w:r>
        <w:t xml:space="preserve">2.4.2 SQL et Spark</w:t>
      </w:r>
    </w:p>
    <w:p>
      <w:pPr>
        <w:pStyle w:val="FirstParagraph"/>
      </w:pPr>
      <w:r>
        <w:t xml:space="preserve">Le véritable livrable de cette étape est la base SQL décrite en section 2.3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1 561,8 M€ de dépenses budgétées et 1 754,8 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</w:t>
      </w:r>
      <w:r>
        <w:t xml:space="preserve"> </w:t>
      </w:r>
      <w:r>
        <w:t xml:space="preserve">groupe dont le périmètre de données dépasse largement le sien. Le test est concluant,</w:t>
      </w:r>
      <w:r>
        <w:t xml:space="preserve"> </w:t>
      </w:r>
      <w:r>
        <w:t xml:space="preserve">mais par la négative. Sur notre volumétrie, 64 788 lignes représentant 9 Mo en mémoire,</w:t>
      </w:r>
      <w:r>
        <w:t xml:space="preserve"> </w:t>
      </w:r>
      <w:r>
        <w:t xml:space="preserve">l’agrégation chronométrée est environ cinquante fois plus lente qu’avec pandas. Le rapport</w:t>
      </w:r>
      <w:r>
        <w:t xml:space="preserve"> </w:t>
      </w:r>
      <w:r>
        <w:t xml:space="preserve">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</w:t>
      </w:r>
      <w:r>
        <w:t xml:space="preserve"> </w:t>
      </w:r>
      <w:r>
        <w:t xml:space="preserve">non.</w:t>
      </w:r>
    </w:p>
    <w:p>
      <w:pPr>
        <w:pStyle w:val="BodyText"/>
      </w:pPr>
      <w:r>
        <w:t xml:space="preserve">SQLite et pandas constituent la bonne architecture à cette échelle, et il faut savoir le</w:t>
      </w:r>
      <w:r>
        <w:t xml:space="preserve"> </w:t>
      </w:r>
      <w:r>
        <w:t xml:space="preserve">dire plutôt que d’ajouter une technologie parce qu’elle figure au programme. L’intérêt du</w:t>
      </w:r>
      <w:r>
        <w:t xml:space="preserve"> </w:t>
      </w:r>
      <w:r>
        <w:t xml:space="preserve">test est ailleurs : le chemin de montée en charge est identifié et documenté, si le</w:t>
      </w:r>
      <w:r>
        <w:t xml:space="preserve"> </w:t>
      </w:r>
      <w:r>
        <w:t xml:space="preserve">périmètre devait un jour s’étendre à celui du groupe Nexity.</w:t>
      </w:r>
    </w:p>
    <w:bookmarkEnd w:id="35"/>
    <w:bookmarkStart w:id="39" w:name="axe-a"/>
    <w:p>
      <w:pPr>
        <w:pStyle w:val="Heading3"/>
      </w:pPr>
      <w:r>
        <w:t xml:space="preserve">2.4.3 Axe A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 prédit » sa propre</w:t>
      </w:r>
      <w:r>
        <w:t xml:space="preserve"> </w:t>
      </w:r>
      <w:r>
        <w:t xml:space="preserve">définition, avec des performances flatteuses et parfaitement trompeuses.</w:t>
      </w:r>
    </w:p>
    <w:p>
      <w:pPr>
        <w:pStyle w:val="BodyText"/>
      </w:pPr>
      <w:r>
        <w:t xml:space="preserve">Sur le périmètre exploitable, soit les 123 opérations engagées à au moins 60 % et dont la</w:t>
      </w:r>
      <w:r>
        <w:t xml:space="preserve"> </w:t>
      </w:r>
      <w:r>
        <w:t xml:space="preserve">marge budgétée dépasse 50 k€, plus d’un tiers des opérations, 36,6 % exactement, n’a aucun</w:t>
      </w:r>
      <w:r>
        <w:t xml:space="preserve"> </w:t>
      </w:r>
      <w:r>
        <w:t xml:space="preserve">dépassement engagé. Mais 28 % franchissent le seuil de dérive matérielle, que j’ai fixé à</w:t>
      </w:r>
      <w:r>
        <w:t xml:space="preserve"> </w:t>
      </w:r>
      <w:r>
        <w:t xml:space="preserve">2 % de la marge, et deux cas extrêmes dépassent la moitié de la marge budgétée. La</w:t>
      </w:r>
      <w:r>
        <w:t xml:space="preserve"> </w:t>
      </w:r>
      <w:r>
        <w:t xml:space="preserve">Figure 2.3 donne la distribution complète et situe ce seuil.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engagée sur les 123 opérations du périmètre, et seuil de dérive matérielle à -2 %" title="" id="37" name="Picture"/>
            <a:graphic>
              <a:graphicData uri="http://schemas.openxmlformats.org/drawingml/2006/picture">
                <pic:pic>
                  <pic:nvPicPr>
                    <pic:cNvPr descr="figures/fig_2_3_distribution_variation_mar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– Distribution de la variation de marge engagée sur les 123 opérations du périmètre, et seuil de dérive matérielle à -2 %</w:t>
      </w:r>
    </w:p>
    <w:p>
      <w:pPr>
        <w:pStyle w:val="BodyText"/>
      </w:pPr>
      <w:r>
        <w:t xml:space="preserve">Un point mérite d’être dit clairement, parce qu’il va à l’encontre de ce qu’on attend d’un</w:t>
      </w:r>
      <w:r>
        <w:t xml:space="preserve"> </w:t>
      </w:r>
      <w:r>
        <w:t xml:space="preserve">projet de Data Science. La partie la plus utile de cet axe pour l’entreprise n’est pas un</w:t>
      </w:r>
      <w:r>
        <w:t xml:space="preserve"> </w:t>
      </w:r>
      <w:r>
        <w:t xml:space="preserve">modèle appris : c’est le tableau descriptif des dépassements engagés en euros, par</w:t>
      </w:r>
      <w:r>
        <w:t xml:space="preserve"> </w:t>
      </w:r>
      <w:r>
        <w:t xml:space="preserve">opération et par poste, calculé en SQL pur. C’est lui qui alimente la page « Alertes</w:t>
      </w:r>
      <w:r>
        <w:t xml:space="preserve"> </w:t>
      </w:r>
      <w:r>
        <w:t xml:space="preserve">marge » de la plateforme, et c’est lui que les contrôleurs de gestion consultent.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 à risque », c’est-à-dire dont la dérive dépasse 2 %,</w:t>
      </w:r>
      <w:r>
        <w:t xml:space="preserve"> </w:t>
      </w:r>
      <w:r>
        <w:t xml:space="preserve">atteint un score F1 de l’ordre de 0,30 à 0,34 en validation croisée stratifiée, contre 0</w:t>
      </w:r>
      <w:r>
        <w:t xml:space="preserve"> </w:t>
      </w:r>
      <w:r>
        <w:t xml:space="preserve">pour la référence majoritaire, qui ne détecte rien du tout. J’ai confronté quatre</w:t>
      </w:r>
      <w:r>
        <w:t xml:space="preserve"> </w:t>
      </w:r>
      <w:r>
        <w:t xml:space="preserve">classifieurs classiques, la régression logistique, le séparateur à vaste marge, l’arbre de</w:t>
      </w:r>
      <w:r>
        <w:t xml:space="preserve"> </w:t>
      </w:r>
      <w:r>
        <w:t xml:space="preserve">décision et la forêt aléatoire ; à 123 observations, leurs écarts de performance ne sont</w:t>
      </w:r>
      <w:r>
        <w:t xml:space="preserve"> </w:t>
      </w:r>
      <w:r>
        <w:t xml:space="preserve">pas significatifs, et le choix s’est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 Un score F1 de 0,3 contre une référence à 0 signifie que le</w:t>
      </w:r>
      <w:r>
        <w:t xml:space="preserve"> </w:t>
      </w:r>
      <w:r>
        <w:t xml:space="preserve">modèle détecte quelque chose là où l’approche naïve ne détecte rien, ce qui est utile pour</w:t>
      </w:r>
      <w:r>
        <w:t xml:space="preserve"> </w:t>
      </w:r>
      <w:r>
        <w:t xml:space="preserve">ordonner une revue de gestion, mais ne permet pas de fonder une décision à lui seul.</w:t>
      </w:r>
    </w:p>
    <w:bookmarkEnd w:id="39"/>
    <w:bookmarkStart w:id="46" w:name="axe-b"/>
    <w:p>
      <w:pPr>
        <w:pStyle w:val="Heading3"/>
      </w:pPr>
      <w:r>
        <w:t xml:space="preserve">2.4.4 Axe B</w:t>
      </w:r>
    </w:p>
    <w:p>
      <w:pPr>
        <w:pStyle w:val="FirstParagraph"/>
      </w:pPr>
      <w:r>
        <w:t xml:space="preserve">C’est l’axe dont les résultats sont les plus solides, et celui qui sert le plus directement</w:t>
      </w:r>
      <w:r>
        <w:t xml:space="preserve"> </w:t>
      </w:r>
      <w:r>
        <w:t xml:space="preserve">la décision budgétaire.</w:t>
      </w:r>
    </w:p>
    <w:p>
      <w:pPr>
        <w:pStyle w:val="BodyText"/>
      </w:pPr>
      <w:r>
        <w:t xml:space="preserve">Le rythme de vente est modélisé sur un panel opération × mois, soit 3 230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la</w:t>
      </w:r>
      <w:r>
        <w:t xml:space="preserve"> </w:t>
      </w:r>
      <w:r>
        <w:t xml:space="preserve">localisation, le produit et le prix pèsent davantage que le contexte macroéconomique.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19 %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Un garde-fou mérite d’être raconté, parce qu’il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 dans les règles de l’art : vérification que les résidus sont</w:t>
      </w:r>
      <w:r>
        <w:t xml:space="preserve"> </w:t>
      </w:r>
      <w:r>
        <w:t xml:space="preserve">assimilables à un bruit blanc d’abord, sélection du modèle par le critère AICc ensuite.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2.4, une détente à 2,5 % fin 2026 redonnerait environ +6 % de rythme en</w:t>
      </w:r>
      <w:r>
        <w:t xml:space="preserve"> </w:t>
      </w:r>
      <w:r>
        <w:t xml:space="preserve">moyenne sur douze mois, tandis qu’une remontée à 3,5 % en retirerait 3 %.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 %" title="" id="41" name="Picture"/>
            <a:graphic>
              <a:graphicData uri="http://schemas.openxmlformats.org/drawingml/2006/picture">
                <pic:pic>
                  <pic:nvPicPr>
                    <pic:cNvPr descr="figures/fig_2_4_scenarios_taux_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– Prévision d’intensité de vente à douze mois sous trois scénarios de taux 2026, avec intervalle à 80 %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2.5 sur quatre programmes. Il fournit surtout un indicateur</w:t>
      </w:r>
      <w:r>
        <w:t xml:space="preserve"> </w:t>
      </w:r>
      <w:r>
        <w:t xml:space="preserve">directement utile à la trésorerie : le délai d’atteinte de 90 %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 % du potentiel" title="" id="44" name="Picture"/>
            <a:graphic>
              <a:graphicData uri="http://schemas.openxmlformats.org/drawingml/2006/picture">
                <pic:pic>
                  <pic:nvPicPr>
                    <pic:cNvPr descr="figures/fig_2_5_courbes_logistiqu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– Réservations cumulées et courbes logistiques ajustées sur quatre opérations terminées, avec le repère des 90 %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avancés.</w:t>
      </w:r>
    </w:p>
    <w:bookmarkEnd w:id="46"/>
    <w:bookmarkStart w:id="53" w:name="axe-c"/>
    <w:p>
      <w:pPr>
        <w:pStyle w:val="Heading3"/>
      </w:pPr>
      <w:r>
        <w:t xml:space="preserve">2.4.5 Axe C</w:t>
      </w:r>
    </w:p>
    <w:p>
      <w:pPr>
        <w:pStyle w:val="FirstParagraph"/>
      </w:pPr>
      <w:r>
        <w:t xml:space="preserve">Le modèle de prix est volontairement le plus simple qui fonctionne. Il s’agit d’une</w:t>
      </w:r>
      <w:r>
        <w:t xml:space="preserve"> </w:t>
      </w:r>
      <w:r>
        <w:t xml:space="preserve">régression linéaire du logarithme du prix au mètre carré des 5 064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88,6 % de la variance sur</w:t>
      </w:r>
      <w:r>
        <w:t xml:space="preserve"> </w:t>
      </w:r>
      <w:r>
        <w:t xml:space="preserve">l’échantillon test, avec une erreur type d’environ 11 %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permettant de les discuter avec la direction</w:t>
      </w:r>
      <w:r>
        <w:t xml:space="preserve"> </w:t>
      </w:r>
      <w:r>
        <w:t xml:space="preserve">commerciale. On y lit une prime d’étage de +6 %, une prime d’exposition sud, une décote de</w:t>
      </w:r>
      <w:r>
        <w:t xml:space="preserve"> </w:t>
      </w:r>
      <w:r>
        <w:t xml:space="preserve">63 %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2.6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48" name="Picture"/>
            <a:graphic>
              <a:graphicData uri="http://schemas.openxmlformats.org/drawingml/2006/picture">
                <pic:pic>
                  <pic:nvPicPr>
                    <pic:cNvPr descr="figures/fig_2_6_effet_millesim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ajusté. Les deux axes disent</w:t>
      </w:r>
      <w:r>
        <w:t xml:space="preserve"> </w:t>
      </w:r>
      <w:r>
        <w:t xml:space="preserve">donc la même chose par deux chemins indépendants, renforçant la confiance que l’on peut</w:t>
      </w:r>
      <w:r>
        <w:t xml:space="preserve"> </w:t>
      </w:r>
      <w:r>
        <w:t xml:space="preserve">accorder à l’un comme à l’autre.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2.7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51" name="Picture"/>
            <a:graphic>
              <a:graphicData uri="http://schemas.openxmlformats.org/drawingml/2006/picture">
                <pic:pic>
                  <pic:nvPicPr>
                    <pic:cNvPr descr="figures/fig_2_7_stock_prix_march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+5 %, sous un objectif d’accélération de</w:t>
      </w:r>
      <w:r>
        <w:t xml:space="preserve"> </w:t>
      </w:r>
      <w:r>
        <w:t xml:space="preserve">l’écoulement, la demande réagissant au prix avec une élasticité fixée à -1.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 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+8 % d’écoulement déplace le volume</w:t>
      </w:r>
      <w:r>
        <w:t xml:space="preserve"> </w:t>
      </w:r>
      <w:r>
        <w:t xml:space="preserve">attendu de 6,8 à 7,4 lots pour un revenu quasi inchangé, en recul de 0,3 %.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53"/>
    <w:bookmarkStart w:id="54" w:name="signaux-faibles-texte-et-réseau"/>
    <w:p>
      <w:pPr>
        <w:pStyle w:val="Heading3"/>
      </w:pPr>
      <w:r>
        <w:t xml:space="preserve">2.4.6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9 688 commentaires</w:t>
      </w:r>
      <w:r>
        <w:t xml:space="preserve"> </w:t>
      </w:r>
      <w:r>
        <w:t xml:space="preserve">libres de vente. Une requête formulée en langage courant, comme « refus de prêt banque » ou</w:t>
      </w:r>
      <w:r>
        <w:t xml:space="preserve"> </w:t>
      </w:r>
      <w:r>
        <w:t xml:space="preserve">« remise prix hors pack », remonte les dossiers concernés. C’est un outil d’audit des</w:t>
      </w:r>
      <w:r>
        <w:t xml:space="preserve"> </w:t>
      </w:r>
      <w:r>
        <w:t xml:space="preserve">remises non structurées réellement utilisable.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90 % des motifs sont enregistrés en « Autres motifs », rendant les désistements de cette</w:t>
      </w:r>
      <w:r>
        <w:t xml:space="preserve"> </w:t>
      </w:r>
      <w:r>
        <w:t xml:space="preserve">agence inanalysables tant que la saisie n’est pas fiabilisée. Ce constat n’est pas un</w:t>
      </w:r>
      <w:r>
        <w:t xml:space="preserve"> </w:t>
      </w:r>
      <w:r>
        <w:t xml:space="preserve">résultat d’analyse au sens strict, mais c’est une information directement actionnable, et</w:t>
      </w:r>
      <w:r>
        <w:t xml:space="preserve"> </w:t>
      </w:r>
      <w:r>
        <w:t xml:space="preserve">elle n’aurait pas été visible sans ce travail.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51,6 % des</w:t>
      </w:r>
      <w:r>
        <w:t xml:space="preserve"> </w:t>
      </w:r>
      <w:r>
        <w:t xml:space="preserve">dossiers attribués, avec des taux de désistement allant du simple au triple : 9 % pour le</w:t>
      </w:r>
      <w:r>
        <w:t xml:space="preserve"> </w:t>
      </w:r>
      <w:r>
        <w:t xml:space="preserve">réseau interne contre 29,6 %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Ce résultat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54"/>
    <w:bookmarkEnd w:id="55"/>
    <w:bookmarkStart w:id="62" w:name="plateforme-streamlit"/>
    <w:p>
      <w:pPr>
        <w:pStyle w:val="Heading2"/>
      </w:pPr>
      <w:r>
        <w:t xml:space="preserve">2.5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2.8, donne la situation en quelques</w:t>
      </w:r>
      <w:r>
        <w:t xml:space="preserve"> </w:t>
      </w:r>
      <w:r>
        <w:t xml:space="preserve">secondes : 147 opérations suivies, dont 10 en alerte et 2 à surveiller parmi les 68</w:t>
      </w:r>
      <w:r>
        <w:t xml:space="preserve"> </w:t>
      </w:r>
      <w:r>
        <w:t xml:space="preserve">opérations en cours suffisamment engagées, 421 lots principaux en stock, un rythme récent</w:t>
      </w:r>
      <w:r>
        <w:t xml:space="preserve"> </w:t>
      </w:r>
      <w:r>
        <w:t xml:space="preserve">de 4,8 réservations par opération et par mois, pour un taux de crédit à 3,11 %.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Vue d’ensemble »" title="" id="57" name="Picture"/>
            <a:graphic>
              <a:graphicData uri="http://schemas.openxmlformats.org/drawingml/2006/picture">
                <pic:pic>
                  <pic:nvPicPr>
                    <pic:cNvPr descr="figures/fig_2_8_plateforme_vue_ensembl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– Plateforme, page « Vue d’ensemble 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2.9,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Alertes marge » : niveaux d’alerte et dépassements engagés en euros" title="" id="60" name="Picture"/>
            <a:graphic>
              <a:graphicData uri="http://schemas.openxmlformats.org/drawingml/2006/picture">
                <pic:pic>
                  <pic:nvPicPr>
                    <pic:cNvPr descr="figures/fig_2_9_plateforme_alertes_marg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2.9 – Plateforme, page « Alertes marge 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vides. Et</w:t>
      </w:r>
      <w:r>
        <w:t xml:space="preserve"> </w:t>
      </w:r>
      <w:r>
        <w:t xml:space="preserve">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62"/>
    <w:bookmarkStart w:id="63" w:name="périmètre-et-limites"/>
    <w:p>
      <w:pPr>
        <w:pStyle w:val="Heading2"/>
      </w:pPr>
      <w:r>
        <w:t xml:space="preserve">2.6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08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08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08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08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opérations. Il est intéressant de noter que la frontière entre les deux</w:t>
      </w:r>
      <w:r>
        <w:t xml:space="preserve"> </w:t>
      </w:r>
      <w:r>
        <w:t xml:space="preserve">activités ressort d’elle-même dès l’analyse exploratoire, constituant une validation</w:t>
      </w:r>
      <w:r>
        <w:t xml:space="preserve"> </w:t>
      </w:r>
      <w:r>
        <w:t xml:space="preserve">involontaire du choix de périmètre demandé par l’entreprise.</w:t>
      </w:r>
    </w:p>
    <w:bookmarkEnd w:id="63"/>
    <w:bookmarkStart w:id="64" w:name="Xa8e7a5bd3a8e7d44c83c8c60c85d0987f92cedc"/>
    <w:p>
      <w:pPr>
        <w:pStyle w:val="Heading2"/>
      </w:pPr>
      <w:r>
        <w:t xml:space="preserve">2.7 Conclusion du chapitre et conclusion générale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</w:t>
      </w:r>
      <w:r>
        <w:t xml:space="preserve"> </w:t>
      </w:r>
      <w:r>
        <w:t xml:space="preserve">donnée 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rejoint la thèse que</w:t>
      </w:r>
      <w:r>
        <w:t xml:space="preserve"> </w:t>
      </w:r>
      <w:r>
        <w:t xml:space="preserve">j’avançais en fin de mémoire de mi-parcours : la structure de la donnée commande ce que la</w:t>
      </w:r>
      <w:r>
        <w:t xml:space="preserve"> </w:t>
      </w:r>
      <w:r>
        <w:t xml:space="preserve">modélisation peut en tirer.</w:t>
      </w:r>
    </w:p>
    <w:p>
      <w:pPr>
        <w:pStyle w:val="BodyText"/>
      </w:pPr>
      <w:r>
        <w:t xml:space="preserve">Les deux chapitres de ce mémoire se répondent précisément sur ce point. Le premier raconte</w:t>
      </w:r>
      <w:r>
        <w:t xml:space="preserve"> </w:t>
      </w:r>
      <w:r>
        <w:t xml:space="preserve">la reconstitution d’un référentiel client dans un nouvel ERP, avec ses clés d’unicité, ses</w:t>
      </w:r>
      <w:r>
        <w:t xml:space="preserve"> </w:t>
      </w:r>
      <w:r>
        <w:t xml:space="preserve">contournements de format et ses arbitrages documentés. Le second raconte ce que l’on peut</w:t>
      </w:r>
      <w:r>
        <w:t xml:space="preserve"> </w:t>
      </w:r>
      <w:r>
        <w:t xml:space="preserve">faire d’un patrimoine de données une fois qu’il est fiable, et ce que l’on ne peut pas en</w:t>
      </w:r>
      <w:r>
        <w:t xml:space="preserve"> </w:t>
      </w:r>
      <w:r>
        <w:t xml:space="preserve">faire lorsqu’il lui manque une dimension. Le lien entre les deux n’est pas rhétorique : les</w:t>
      </w:r>
      <w:r>
        <w:t xml:space="preserve"> </w:t>
      </w:r>
      <w:r>
        <w:t xml:space="preserve">recommandations qui terminent le chapitre 2, historiser les exports mensuels et fiabiliser</w:t>
      </w:r>
      <w:r>
        <w:t xml:space="preserve"> </w:t>
      </w:r>
      <w:r>
        <w:t xml:space="preserve">la saisie des motifs de désistement, sont exactement de la même nature que le travail</w:t>
      </w:r>
      <w:r>
        <w:t xml:space="preserve"> </w:t>
      </w:r>
      <w:r>
        <w:t xml:space="preserve">décrit au chapitre 1. Ce sont des travaux de structure, faits pour rendre possible une</w:t>
      </w:r>
      <w:r>
        <w:t xml:space="preserve"> </w:t>
      </w:r>
      <w:r>
        <w:t xml:space="preserve">analyse à venir.</w:t>
      </w:r>
    </w:p>
    <w:p>
      <w:pPr>
        <w:pStyle w:val="BodyText"/>
      </w:pPr>
      <w:r>
        <w:t xml:space="preserve">Cette année d’alternance m’aura donc fait parcourir un cycle complet. Le premier semestre a</w:t>
      </w:r>
      <w:r>
        <w:t xml:space="preserve"> </w:t>
      </w:r>
      <w:r>
        <w:t xml:space="preserve">été celui de l’ingénierie des données, avec la migration vers SPO, ses dépendances</w:t>
      </w:r>
      <w:r>
        <w:t xml:space="preserve"> </w:t>
      </w:r>
      <w:r>
        <w:t xml:space="preserve">hiérarchiques, ses identifiants dynamiques et sa stratégie de déploiement en coquilles</w:t>
      </w:r>
      <w:r>
        <w:t xml:space="preserve"> </w:t>
      </w:r>
      <w:r>
        <w:t xml:space="preserve">vides. La reprise des tiers, exposée au chapitre 1, en a été le prolongement direct et,</w:t>
      </w:r>
      <w:r>
        <w:t xml:space="preserve"> </w:t>
      </w:r>
      <w:r>
        <w:t xml:space="preserve">d’une certaine manière, l’aboutissement, puisqu’elle a achevé de constituer le socle</w:t>
      </w:r>
      <w:r>
        <w:t xml:space="preserve"> </w:t>
      </w:r>
      <w:r>
        <w:t xml:space="preserve">commercial du nouvel outil. Le second semestre a été celui de la valorisation, avec un</w:t>
      </w:r>
      <w:r>
        <w:t xml:space="preserve"> </w:t>
      </w:r>
      <w:r>
        <w:t xml:space="preserve">projet de Data Science mené de bout en bout, de la compréhension des exports jusqu’à une</w:t>
      </w:r>
      <w:r>
        <w:t xml:space="preserve"> </w:t>
      </w:r>
      <w:r>
        <w:t xml:space="preserve">application utilisée par la direction financière.</w:t>
      </w:r>
    </w:p>
    <w:p>
      <w:pPr>
        <w:pStyle w:val="BodyText"/>
      </w:pPr>
      <w:r>
        <w:t xml:space="preserve">Ce que je retire de ce parcours tient en peu de mots. Un projet de données ne se joue pas</w:t>
      </w:r>
      <w:r>
        <w:t xml:space="preserve"> </w:t>
      </w:r>
      <w:r>
        <w:t xml:space="preserve">au moment du choix de l’algorithme mais bien avant, lorsqu’on décide ce qu’est un client,</w:t>
      </w:r>
      <w:r>
        <w:t xml:space="preserve"> </w:t>
      </w:r>
      <w:r>
        <w:t xml:space="preserve">ce qu’est une marge, ou ce que contient réellement un fichier dont le nom annonce autre</w:t>
      </w:r>
      <w:r>
        <w:t xml:space="preserve"> </w:t>
      </w:r>
      <w:r>
        <w:t xml:space="preserve">chose. Ce sont des décisions modestes en apparence, invisibles dans le résultat final, et</w:t>
      </w:r>
      <w:r>
        <w:t xml:space="preserve"> </w:t>
      </w:r>
      <w:r>
        <w:t xml:space="preserve">pourtant ce sont elles qui déterminent si le résultat vaut quelque chose. Le métier de</w:t>
      </w:r>
      <w:r>
        <w:t xml:space="preserve"> </w:t>
      </w:r>
      <w:r>
        <w:t xml:space="preserve">gestionnaire d’information, tel que je l’ai pratiqué cette année, consiste largement à</w:t>
      </w:r>
      <w:r>
        <w:t xml:space="preserve"> </w:t>
      </w:r>
      <w:r>
        <w:t xml:space="preserve">prendre ces décisions-là, à les écrire, et à les rendre vérifiables par d’autres.</w:t>
      </w:r>
    </w:p>
    <w:p>
      <w:pPr>
        <w:pStyle w:val="BodyText"/>
      </w:pPr>
      <w:r>
        <w:t xml:space="preserve">Il reste évidemment beaucoup à faire. La migration vers SPO n’est pas achevée, l’historique</w:t>
      </w:r>
      <w:r>
        <w:t xml:space="preserve"> </w:t>
      </w:r>
      <w:r>
        <w:t xml:space="preserve">budgétaire reste à reprendre, et le Copilote Financier ne deviendra un véritable outil de</w:t>
      </w:r>
      <w:r>
        <w:t xml:space="preserve"> </w:t>
      </w:r>
      <w:r>
        <w:t xml:space="preserve">suivi que lorsque les exports auront été historisés sur une durée suffisante. Mais les deux</w:t>
      </w:r>
      <w:r>
        <w:t xml:space="preserve"> </w:t>
      </w:r>
      <w:r>
        <w:t xml:space="preserve">chantiers avancent désormais dans le même sens, et c’est cette convergence entre la</w:t>
      </w:r>
      <w:r>
        <w:t xml:space="preserve"> </w:t>
      </w:r>
      <w:r>
        <w:t xml:space="preserve">structuration technique des données et leur valorisation statistique qui aura constitué le</w:t>
      </w:r>
      <w:r>
        <w:t xml:space="preserve"> </w:t>
      </w:r>
      <w:r>
        <w:t xml:space="preserve">fil conducteur de mon année de Master 2.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 Copilote Financier</dc:title>
  <dc:creator>Yasmina Saoud</dc:creator>
  <dc:language>fr</dc:language>
  <cp:keywords/>
  <dcterms:created xsi:type="dcterms:W3CDTF">2026-08-18T07:18:48Z</dcterms:created>
  <dcterms:modified xsi:type="dcterms:W3CDTF">2026-08-18T07:18:48Z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1</vt:lpwstr>
  </property>
  <property fmtid="{D5CDD505-2E9C-101B-9397-08002B2CF9AE}" pid="3" name="date">
    <vt:lpwstr/>
  </property>
  <property fmtid="{D5CDD505-2E9C-101B-9397-08002B2CF9AE}" pid="4" name="output">
    <vt:lpwstr/>
  </property>
</Properties>
</file>