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mission, conduite au second</w:t>
      </w:r>
      <w:r>
        <w:t xml:space="preserve"> </w:t>
      </w:r>
      <w:r>
        <w:t xml:space="preserve">semestre, prolonge directement le chantier de migration exposé dans mon mémoire de</w:t>
      </w:r>
      <w:r>
        <w:t xml:space="preserve"> </w:t>
      </w:r>
      <w:r>
        <w:t xml:space="preserve">mi-parcours, et elle répond au chantier d’interopérabilité entre l’ERP et le CRM que j’y</w:t>
      </w:r>
      <w:r>
        <w:t xml:space="preserve"> </w:t>
      </w:r>
      <w:r>
        <w:t xml:space="preserve">annonçais. Elle en change 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1.2.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auquel ce</w:t>
      </w:r>
      <w:r>
        <w:t xml:space="preserve"> </w:t>
      </w:r>
      <w:r>
        <w:t xml:space="preserve">travail de structure ouvrait la voie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2026-08-18T07:40:22Z</dcterms:created>
  <dcterms:modified xsi:type="dcterms:W3CDTF">2026-08-18T07:40:22Z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