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3.png" ContentType="image/png"/>
  <Override PartName="/word/media/rId36.png" ContentType="image/png"/>
  <Override PartName="/word/media/rId45.png" ContentType="image/png"/>
  <Override PartName="/word/media/rId52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88.png" ContentType="image/png"/>
  <Override PartName="/word/media/rId91.png" ContentType="image/png"/>
  <Override PartName="/word/media/rId96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6.png" ContentType="image/png"/>
  <Override PartName="/word/media/rId119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 coquilles vides 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 conduit</w:t>
      </w:r>
      <w:r>
        <w:t xml:space="preserve"> </w:t>
      </w:r>
      <w:r>
        <w:t xml:space="preserve">la reprise des tiers, c’est-à-dire des clients acquéreurs, en concevant une chaîne de traitement</w:t>
      </w:r>
      <w:r>
        <w:t xml:space="preserve"> </w:t>
      </w:r>
      <w:r>
        <w:t xml:space="preserve">entièrement pilotée par formules qui a permis de créer 1 434 tiers dans SPO à partir de 1 602</w:t>
      </w:r>
      <w:r>
        <w:t xml:space="preserve"> </w:t>
      </w:r>
      <w:r>
        <w:t xml:space="preserve">lignes brutes, sans doublon détecté par les trois clés d’unicité retenues. J’ai ensuite mené de</w:t>
      </w:r>
      <w:r>
        <w:t xml:space="preserve"> </w:t>
      </w:r>
      <w:r>
        <w:t xml:space="preserve">bout en bout un projet de Data Science, le « Copilote Financier », qui outille la direction</w:t>
      </w:r>
      <w:r>
        <w:t xml:space="preserve"> </w:t>
      </w:r>
      <w:r>
        <w:t xml:space="preserve">financière sur trois questions de gestion : le risque de dérive des marges, le rythme</w:t>
      </w:r>
      <w:r>
        <w:t xml:space="preserve"> </w:t>
      </w:r>
      <w:r>
        <w:t xml:space="preserve">d’écoulement des programmes et le pilotage des prix du stock.</w:t>
      </w:r>
    </w:p>
    <w:p>
      <w:pPr>
        <w:pStyle w:val="BodyText"/>
      </w:pPr>
      <w:r>
        <w:t xml:space="preserve">Ce mémoire relit ensuite ces quatre missions transversalement, sous l’angle de la conduite de</w:t>
      </w:r>
      <w:r>
        <w:t xml:space="preserve"> </w:t>
      </w:r>
      <w:r>
        <w:t xml:space="preserve">projet, des technologies et des méthodes employées, des régimes de preuve mobilisés pour</w:t>
      </w:r>
      <w:r>
        <w:t xml:space="preserve"> </w:t>
      </w:r>
      <w:r>
        <w:t xml:space="preserve">évaluer chaque livrable et des difficultés rencontrées.</w:t>
      </w:r>
    </w:p>
    <w:p>
      <w:pPr>
        <w:pStyle w:val="BodyText"/>
      </w:pPr>
      <w:r>
        <w:t xml:space="preserve">De cette année, il tire une thèse qu’il s’attache à démontrer plutôt qu’à énoncer : la</w:t>
      </w:r>
      <w:r>
        <w:t xml:space="preserve"> </w:t>
      </w:r>
      <w:r>
        <w:t xml:space="preserve">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bord. Le mémoire emploie le terme au chapitre 5 pour désigner le livrable tel que la direction financière l’a demandé ; le corps du texte parle ensuite d’application web ou de plateforme.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de l’éditeur Salvia permettant d’injecter dans l’ERP des fichiers plats, sans passer par la saisie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Financier de Référence, l’un des exports budgétaires du système de gestion, qui donne pour chaque poste le budget, l’engagé et le facturé.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Grimmo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métier historique du groupe, remplacé cette année par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décisionnel du groupe, qui requête les bases de données sources et produit les tableaux de bord des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 groupe Angelotti est un acteur de l’aménagement et de la promotion immobilière implanté en</w:t>
      </w:r>
      <w:r>
        <w:t xml:space="preserve"> </w:t>
      </w:r>
      <w:r>
        <w:t xml:space="preserve">Occitanie et en région PACA. Son activité se répartit entre deux métiers qu’il faut distinguer,</w:t>
      </w:r>
      <w:r>
        <w:t xml:space="preserve"> </w:t>
      </w:r>
      <w:r>
        <w:t xml:space="preserve">parce que rien de ce qui suit ne se comprend si on les confond. 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 lots destinés à la</w:t>
      </w:r>
      <w:r>
        <w:t xml:space="preserve"> </w:t>
      </w:r>
      <w:r>
        <w:t xml:space="preserve">construction : la valeur y est créée par la transformation du foncier, et les postes dominants</w:t>
      </w:r>
      <w:r>
        <w:t xml:space="preserve"> </w:t>
      </w:r>
      <w:r>
        <w:t xml:space="preserve">sont l’acquisition et les travaux de voirie et réseaux. 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</w:t>
      </w:r>
      <w:r>
        <w:t xml:space="preserve"> </w:t>
      </w:r>
      <w:r>
        <w:t xml:space="preserve">concevoir, financer, construire et commercialiser des logements neufs : la valeur y est créée</w:t>
      </w:r>
      <w:r>
        <w:t xml:space="preserve"> </w:t>
      </w:r>
      <w:r>
        <w:t xml:space="preserve">par la construction. Cette distinction produit deux structures de coûts et deux rythmes de</w:t>
      </w:r>
      <w:r>
        <w:t xml:space="preserve"> </w:t>
      </w:r>
      <w:r>
        <w:t xml:space="preserve">commercialisation différents, donc deux façons de suivre une opération. Chaque opération, dans</w:t>
      </w:r>
      <w:r>
        <w:t xml:space="preserve"> </w:t>
      </w:r>
      <w:r>
        <w:t xml:space="preserve">les deux métiers, est portée par une société dédiée : le suivi financier est nativement</w:t>
      </w:r>
      <w:r>
        <w:t xml:space="preserve"> </w:t>
      </w:r>
      <w:r>
        <w:t xml:space="preserve">cloisonné, et toute vision transverse doit être reconstruite.</w:t>
      </w:r>
    </w:p>
    <w:p>
      <w:pPr>
        <w:pStyle w:val="BodyText"/>
      </w:pPr>
      <w:r>
        <w:t xml:space="preserve">Une opération immobilière vit par ailleurs sur un cycle qui se compte en années. Un budget est</w:t>
      </w:r>
      <w:r>
        <w:t xml:space="preserve"> </w:t>
      </w:r>
      <w:r>
        <w:t xml:space="preserve">arrêté au moment de l’engagement, puis le chantier et la commercialisation le font dériver :</w:t>
      </w:r>
      <w:r>
        <w:t xml:space="preserve"> </w:t>
      </w:r>
      <w:r>
        <w:t xml:space="preserve">les appels d’offres reviennent plus chers qu’anticipé, des acquéreurs se désistent, le rythme</w:t>
      </w:r>
      <w:r>
        <w:t xml:space="preserve"> </w:t>
      </w:r>
      <w:r>
        <w:t xml:space="preserve">de vente ralentit sous l’effet de la conjoncture. Cette dérive n’est pas une anomalie, c’est le</w:t>
      </w:r>
      <w:r>
        <w:t xml:space="preserve"> </w:t>
      </w:r>
      <w:r>
        <w:t xml:space="preserve">fonctionnement normal du métier. Ce qui pose problème, c’est de la mesurer à temps : entre le</w:t>
      </w:r>
      <w:r>
        <w:t xml:space="preserve"> </w:t>
      </w:r>
      <w:r>
        <w:t xml:space="preserve">moment où un poste commence à déraper et celui où l’écart devient visible dans les comptes, il</w:t>
      </w:r>
      <w:r>
        <w:t xml:space="preserve"> </w:t>
      </w:r>
      <w:r>
        <w:t xml:space="preserve">peut s’écouler plusieurs mois, et sur une marge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À mon arrivée en deuxième année, le système d’information du groupe reposait sur trois outils</w:t>
      </w:r>
      <w:r>
        <w:t xml:space="preserve"> </w:t>
      </w:r>
      <w:r>
        <w:t xml:space="preserve">principaux et sur une quatrième couche moins visible mais tout aussi structurante :</w:t>
      </w:r>
      <w:r>
        <w:t xml:space="preserve"> </w:t>
      </w:r>
      <w:r>
        <w:rPr>
          <w:bCs/>
          <w:b/>
        </w:rPr>
        <w:t xml:space="preserve">Grimmo</w:t>
      </w:r>
      <w:r>
        <w:t xml:space="preserve">, l’ERP métier historique, portait la gestion des opérations ;</w:t>
      </w:r>
      <w:r>
        <w:t xml:space="preserve"> </w:t>
      </w:r>
      <w:r>
        <w:rPr>
          <w:bCs/>
          <w:b/>
        </w:rPr>
        <w:t xml:space="preserve">Vadimm</w:t>
      </w:r>
      <w:r>
        <w:t xml:space="preserve">, le CRM,</w:t>
      </w:r>
      <w:r>
        <w:t xml:space="preserve"> </w:t>
      </w:r>
      <w:r>
        <w:t xml:space="preserve">portait la relation commerciale, acquéreurs, réservations, désistements et coordonnées ;</w:t>
      </w:r>
      <w:r>
        <w:t xml:space="preserve"> </w:t>
      </w:r>
      <w:r>
        <w:rPr>
          <w:bCs/>
          <w:b/>
        </w:rPr>
        <w:t xml:space="preserve">MyReport</w:t>
      </w:r>
      <w:r>
        <w:t xml:space="preserve">, l’outil décisionnel, requêtait les bases sources et produisait les tableaux de</w:t>
      </w:r>
      <w:r>
        <w:t xml:space="preserve"> </w:t>
      </w:r>
      <w:r>
        <w:t xml:space="preserve">bord ; et</w:t>
      </w:r>
      <w:r>
        <w:t xml:space="preserve"> </w:t>
      </w:r>
      <w:r>
        <w:rPr>
          <w:bCs/>
          <w:b/>
        </w:rPr>
        <w:t xml:space="preserve">les tableurs</w:t>
      </w:r>
      <w:r>
        <w:t xml:space="preserve">, enfin, faisaient le lien partout où les trois premiers ne se</w:t>
      </w:r>
      <w:r>
        <w:t xml:space="preserve"> </w:t>
      </w:r>
      <w:r>
        <w:t xml:space="preserve">parlaient pas, la direction financière y suivant ses dérives budgétaires opération par</w:t>
      </w:r>
      <w:r>
        <w:t xml:space="preserve"> </w:t>
      </w:r>
      <w:r>
        <w:t xml:space="preserve">opération, sans vision transverse.</w:t>
      </w:r>
    </w:p>
    <w:p>
      <w:pPr>
        <w:pStyle w:val="BodyText"/>
      </w:pPr>
      <w:r>
        <w:t xml:space="preserve">Le contexte data de mes missions se résume alors à un paradoxe que j’ai mis plusieurs mois à</w:t>
      </w:r>
      <w:r>
        <w:t xml:space="preserve"> </w:t>
      </w:r>
      <w:r>
        <w:t xml:space="preserve">formuler : l’entreprise ne manquait pas de données. Elle disposait de l’historique complet de</w:t>
      </w:r>
      <w:r>
        <w:t xml:space="preserve"> </w:t>
      </w:r>
      <w:r>
        <w:t xml:space="preserve">ses opérations, ventes, désistements et budgets sur plusieurs années. Ce qui manquait, c’était</w:t>
      </w:r>
      <w:r>
        <w:t xml:space="preserve"> </w:t>
      </w:r>
      <w:r>
        <w:t xml:space="preserve">la possibilité de s’en servir, et trois obstacles se cumulaient. L’</w:t>
      </w:r>
      <w:r>
        <w:rPr>
          <w:bCs/>
          <w:b/>
        </w:rPr>
        <w:t xml:space="preserve">absence d’identifiant</w:t>
      </w:r>
      <w:r>
        <w:rPr>
          <w:bCs/>
          <w:b/>
        </w:rPr>
        <w:t xml:space="preserve"> </w:t>
      </w:r>
      <w:r>
        <w:rPr>
          <w:bCs/>
          <w:b/>
        </w:rPr>
        <w:t xml:space="preserve">partagé</w:t>
      </w:r>
      <w:r>
        <w:t xml:space="preserve"> </w:t>
      </w:r>
      <w:r>
        <w:t xml:space="preserve">d’abord : un acquéreur du CRM et un tiers de l’ERP ne se reconnaissent pas, et les</w:t>
      </w:r>
      <w:r>
        <w:t xml:space="preserve"> </w:t>
      </w:r>
      <w:r>
        <w:t xml:space="preserve">rapprocher suppose de reconstruire une clé d’identité. L’</w:t>
      </w:r>
      <w:r>
        <w:rPr>
          <w:bCs/>
          <w:b/>
        </w:rPr>
        <w:t xml:space="preserve">absence de définition partagée</w:t>
      </w:r>
      <w:r>
        <w:t xml:space="preserve"> </w:t>
      </w:r>
      <w:r>
        <w:t xml:space="preserve">ensuite : la marge d’une opération peut se calculer sur le budget, sur l’engagé ou sur le</w:t>
      </w:r>
      <w:r>
        <w:t xml:space="preserve"> </w:t>
      </w:r>
      <w:r>
        <w:t xml:space="preserve">facturé, et tant que la définition n’est écrite nulle part, chaque tableau de bord porte</w:t>
      </w:r>
      <w:r>
        <w:t xml:space="preserve"> </w:t>
      </w:r>
      <w:r>
        <w:t xml:space="preserve">implicitement la sienne, deux services pouvant afficher deux chiffres différents sans que ni</w:t>
      </w:r>
      <w:r>
        <w:t xml:space="preserve"> </w:t>
      </w:r>
      <w:r>
        <w:t xml:space="preserve">l’un ni l’autre ait tort. L’</w:t>
      </w:r>
      <w:r>
        <w:rPr>
          <w:bCs/>
          <w:b/>
        </w:rPr>
        <w:t xml:space="preserve">absence de profondeur temporelle</w:t>
      </w:r>
      <w:r>
        <w:t xml:space="preserve"> </w:t>
      </w:r>
      <w:r>
        <w:t xml:space="preserve">enfin : les exports du système</w:t>
      </w:r>
      <w:r>
        <w:t xml:space="preserve"> </w:t>
      </w:r>
      <w:r>
        <w:t xml:space="preserve">de gestion disent où en est un budget aujourd’hui, pas comment il y est arrivé. Ces trois</w:t>
      </w:r>
      <w:r>
        <w:t xml:space="preserve"> </w:t>
      </w:r>
      <w:r>
        <w:t xml:space="preserve">obstacles ont un point commun : aucun ne relève de la modélisation. Ce sont des problèmes de</w:t>
      </w:r>
      <w:r>
        <w:t xml:space="preserve"> </w:t>
      </w:r>
      <w:r>
        <w:t xml:space="preserve">structure, et ils se règlent avant tout modèle.</w:t>
      </w:r>
    </w:p>
    <w:p>
      <w:pPr>
        <w:pStyle w:val="BodyText"/>
      </w:pPr>
      <w:r>
        <w:t xml:space="preserve">C’est dans ce décor que s’inscrit mon année. Après une première année d’alternance consacrée à</w:t>
      </w:r>
      <w:r>
        <w:t xml:space="preserve"> </w:t>
      </w:r>
      <w:r>
        <w:t xml:space="preserve">la migration du CRM Vadimm, ma deuxième année de Master MIASHS au sein de la Holding SPA a</w:t>
      </w:r>
      <w:r>
        <w:t xml:space="preserve"> </w:t>
      </w:r>
      <w:r>
        <w:t xml:space="preserve">coïncidé avec l’étape la plus lourde de la modernisation du système d’information : la refonte</w:t>
      </w:r>
      <w:r>
        <w:t xml:space="preserve"> </w:t>
      </w:r>
      <w:r>
        <w:t xml:space="preserve">complète de l’ERP métier, passant de Grimmo à la solution SPO éditée par Salvia. Un changement</w:t>
      </w:r>
      <w:r>
        <w:t xml:space="preserve"> </w:t>
      </w:r>
      <w:r>
        <w:t xml:space="preserve">d’ERP n’est pas un changement d’outil, c’est un changement de modèle de données : les objets ne</w:t>
      </w:r>
      <w:r>
        <w:t xml:space="preserve"> </w:t>
      </w:r>
      <w:r>
        <w:t xml:space="preserve">portent plus les mêmes noms, ne s’articulent plus de la même façon et n’acceptent plus les</w:t>
      </w:r>
      <w:r>
        <w:t xml:space="preserve"> </w:t>
      </w:r>
      <w:r>
        <w:t xml:space="preserve">mêmes valeurs. Ce changement d’échelle m’a conduite d’un rôle d’assistance opérationnelle vers</w:t>
      </w:r>
      <w:r>
        <w:t xml:space="preserve"> </w:t>
      </w:r>
      <w:r>
        <w:t xml:space="preserve">des missions d’ingénierie, centrées sur l’interopérabilité des systèmes.</w:t>
      </w:r>
    </w:p>
    <w:p>
      <w:pPr>
        <w:pStyle w:val="BodyText"/>
      </w:pPr>
      <w:r>
        <w:t xml:space="preserve">Rattachée à la Holding SPA, j’ai travaillé au contact direct des services métiers — direction</w:t>
      </w:r>
      <w:r>
        <w:t xml:space="preserve"> </w:t>
      </w:r>
      <w:r>
        <w:t xml:space="preserve">financière, service juridique, équipes commerciales — tout en intervenant sur les outils du</w:t>
      </w:r>
      <w:r>
        <w:t xml:space="preserve"> </w:t>
      </w:r>
      <w:r>
        <w:t xml:space="preserve">système d’information. Cette position intermédiaire a une conséquence pratique constante : la</w:t>
      </w:r>
      <w:r>
        <w:t xml:space="preserve"> </w:t>
      </w:r>
      <w:r>
        <w:t xml:space="preserve">formulation du besoin fait partie du travail. Un service ne demande presque jamais un livrable</w:t>
      </w:r>
      <w:r>
        <w:t xml:space="preserve"> </w:t>
      </w:r>
      <w:r>
        <w:t xml:space="preserve">technique ; il décrit une gêne, un tableau qu’il refait à la main chaque mois, une question à</w:t>
      </w:r>
      <w:r>
        <w:t xml:space="preserve"> </w:t>
      </w:r>
      <w:r>
        <w:t xml:space="preserve">laquelle il ne sait pas répondre.</w:t>
      </w:r>
    </w:p>
    <w:p>
      <w:pPr>
        <w:pStyle w:val="BodyText"/>
      </w:pPr>
      <w:r>
        <w:t xml:space="preserve">Ce mémoire présente les travaux réalisés durant cette année, du premier jour de la migration</w:t>
      </w:r>
      <w:r>
        <w:t xml:space="preserve"> </w:t>
      </w:r>
      <w:r>
        <w:t xml:space="preserve">jusqu’à la livraison d’une application d’aide à la décision. Il témoigne d’un mouvement en deux</w:t>
      </w:r>
      <w:r>
        <w:t xml:space="preserve"> </w:t>
      </w:r>
      <w:r>
        <w:t xml:space="preserve">temps : le passage de la Data Science exploratoire au Data Engineering appliqué, puis le retour</w:t>
      </w:r>
      <w:r>
        <w:t xml:space="preserve"> </w:t>
      </w:r>
      <w:r>
        <w:t xml:space="preserve">à la modélisation une fois les données reconstituées. L’ordre compte, et c’est de lui que je</w:t>
      </w:r>
      <w:r>
        <w:t xml:space="preserve"> </w:t>
      </w:r>
      <w:r>
        <w:t xml:space="preserve">tire la thèse de ce mémoire, énoncée d’emblée pour que le lecteur puisse en juger au fil des</w:t>
      </w:r>
      <w:r>
        <w:t xml:space="preserve"> </w:t>
      </w:r>
      <w:r>
        <w:t xml:space="preserve">chapitres :</w:t>
      </w:r>
      <w:r>
        <w:t xml:space="preserve"> </w:t>
      </w:r>
      <w:r>
        <w:rPr>
          <w:bCs/>
          <w:b/>
        </w:rPr>
        <w:t xml:space="preserve">la structure de la donnée commande ce que la modélisation peut en tirer</w:t>
      </w:r>
      <w:r>
        <w:t xml:space="preserve">. Ce</w:t>
      </w:r>
      <w:r>
        <w:t xml:space="preserve"> </w:t>
      </w:r>
      <w:r>
        <w:t xml:space="preserve">n’est pas une position théorique, c’est un constat que l’année a produit deux fois. La première</w:t>
      </w:r>
      <w:r>
        <w:t xml:space="preserve"> </w:t>
      </w:r>
      <w:r>
        <w:t xml:space="preserve">en creux, lorsque la charge de la migration a repoussé le projet de Machine Learning au second</w:t>
      </w:r>
      <w:r>
        <w:t xml:space="preserve"> </w:t>
      </w:r>
      <w:r>
        <w:t xml:space="preserve">semestre. La seconde en plein, lorsque ce projet a donné des résultats solides là où les</w:t>
      </w:r>
      <w:r>
        <w:t xml:space="preserve"> </w:t>
      </w:r>
      <w:r>
        <w:t xml:space="preserve">données avaient une profondeur temporelle, et modestes là où elles n’étaient qu’une</w:t>
      </w:r>
      <w:r>
        <w:t xml:space="preserve"> </w:t>
      </w:r>
      <w:r>
        <w:t xml:space="preserve">photographie à date.</w:t>
      </w:r>
    </w:p>
    <w:p>
      <w:pPr>
        <w:pStyle w:val="BodyText"/>
      </w:pPr>
      <w:r>
        <w:t xml:space="preserve">Quatre chapitres suivent la progression de mes responsabilités. Le chapitre 1 expose le</w:t>
      </w:r>
      <w:r>
        <w:t xml:space="preserve"> </w:t>
      </w:r>
      <w:r>
        <w:t xml:space="preserve">chantier le plus lourd de l’année, la reprise des données vers le nouvel ERP, d’abord les</w:t>
      </w:r>
      <w:r>
        <w:t xml:space="preserve"> </w:t>
      </w:r>
      <w:r>
        <w:t xml:space="preserve">opérations puis les tiers. Le chapitre 2 présente les missions filées menées en parallèle sur</w:t>
      </w:r>
      <w:r>
        <w:t xml:space="preserve"> </w:t>
      </w:r>
      <w:r>
        <w:t xml:space="preserve">les deux semestres : le maintien du système décisionnel et la contribution au déploiement du</w:t>
      </w:r>
      <w:r>
        <w:t xml:space="preserve"> </w:t>
      </w:r>
      <w:r>
        <w:t xml:space="preserve">Single Sign-On. Le chapitre 3 expose le projet de Data Science conduit au second semestre, le</w:t>
      </w:r>
      <w:r>
        <w:t xml:space="preserve"> </w:t>
      </w:r>
      <w:r>
        <w:t xml:space="preserve">Copilote Financier. Le chapitre 4, enfin, livre la réflexion que ces missions ont produite sur</w:t>
      </w:r>
      <w:r>
        <w:t xml:space="preserve"> </w:t>
      </w:r>
      <w:r>
        <w:t xml:space="preserve">le métier, et présente les perspectives et mon projet professionnel.</w:t>
      </w:r>
    </w:p>
    <w:bookmarkEnd w:id="23"/>
    <w:bookmarkStart w:id="70" w:name="X872264bf5dbb55bd2b3f5553274609b24e2c58d"/>
    <w:p>
      <w:pPr>
        <w:pStyle w:val="Heading1"/>
      </w:pPr>
      <w:r>
        <w:t xml:space="preserve">1 La reprise des données vers SPO : des opérations aux tiers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Ce que le changement d’ERP imposait</w:t>
      </w:r>
    </w:p>
    <w:p>
      <w:pPr>
        <w:numPr>
          <w:ilvl w:val="0"/>
          <w:numId w:val="1001"/>
        </w:numPr>
        <w:pStyle w:val="Compact"/>
      </w:pPr>
      <w:r>
        <w:t xml:space="preserve">1.2 La migration des opérations</w:t>
      </w:r>
    </w:p>
    <w:p>
      <w:pPr>
        <w:numPr>
          <w:ilvl w:val="1"/>
          <w:numId w:val="1002"/>
        </w:numPr>
        <w:pStyle w:val="Compact"/>
      </w:pPr>
      <w:r>
        <w:t xml:space="preserve">1.2.1 Un arbitrage initial : automatiser ou saisir</w:t>
      </w:r>
    </w:p>
    <w:p>
      <w:pPr>
        <w:numPr>
          <w:ilvl w:val="1"/>
          <w:numId w:val="1002"/>
        </w:numPr>
        <w:pStyle w:val="Compact"/>
      </w:pPr>
      <w:r>
        <w:t xml:space="preserve">1.2.2 Appropriation technique et industrialisation des flux</w:t>
      </w:r>
    </w:p>
    <w:p>
      <w:pPr>
        <w:numPr>
          <w:ilvl w:val="1"/>
          <w:numId w:val="1002"/>
        </w:numPr>
        <w:pStyle w:val="Compact"/>
      </w:pPr>
      <w:r>
        <w:t xml:space="preserve">1.2.3 Dépendances hiérarchiques, identifiants et versionnement</w:t>
      </w:r>
    </w:p>
    <w:p>
      <w:pPr>
        <w:numPr>
          <w:ilvl w:val="1"/>
          <w:numId w:val="1002"/>
        </w:numPr>
        <w:pStyle w:val="Compact"/>
      </w:pPr>
      <w:r>
        <w:t xml:space="preserve">1.2.4 Le déploiement en « coquilles vides » et le bilan du semestre</w:t>
      </w:r>
    </w:p>
    <w:p>
      <w:pPr>
        <w:numPr>
          <w:ilvl w:val="0"/>
          <w:numId w:val="1001"/>
        </w:numPr>
        <w:pStyle w:val="Compact"/>
      </w:pPr>
      <w:r>
        <w:t xml:space="preserve">1.3 La reprise des tiers</w:t>
      </w:r>
    </w:p>
    <w:p>
      <w:pPr>
        <w:numPr>
          <w:ilvl w:val="1"/>
          <w:numId w:val="1003"/>
        </w:numPr>
        <w:pStyle w:val="Compact"/>
      </w:pPr>
      <w:r>
        <w:t xml:space="preserve">1.3.1 Contexte et enjeux de la reprise des tiers</w:t>
      </w:r>
    </w:p>
    <w:p>
      <w:pPr>
        <w:numPr>
          <w:ilvl w:val="1"/>
          <w:numId w:val="1003"/>
        </w:numPr>
        <w:pStyle w:val="Compact"/>
      </w:pPr>
      <w:r>
        <w:t xml:space="preserve">1.3.2 Conception du fichier de travail</w:t>
      </w:r>
    </w:p>
    <w:p>
      <w:pPr>
        <w:numPr>
          <w:ilvl w:val="1"/>
          <w:numId w:val="1003"/>
        </w:numPr>
        <w:pStyle w:val="Compact"/>
      </w:pPr>
      <w:r>
        <w:t xml:space="preserve">1.3.3 Les trois mécanismes algorithmiques</w:t>
      </w:r>
    </w:p>
    <w:p>
      <w:pPr>
        <w:numPr>
          <w:ilvl w:val="1"/>
          <w:numId w:val="1003"/>
        </w:numPr>
        <w:pStyle w:val="Compact"/>
      </w:pPr>
      <w:r>
        <w:t xml:space="preserve">1.3.4 De la préparation à l’injection</w:t>
      </w:r>
    </w:p>
    <w:p>
      <w:pPr>
        <w:numPr>
          <w:ilvl w:val="1"/>
          <w:numId w:val="1003"/>
        </w:numPr>
        <w:pStyle w:val="Compact"/>
      </w:pPr>
      <w:r>
        <w:t xml:space="preserve">1.3.5 Traitement des cas particuliers et arbitrages</w:t>
      </w:r>
    </w:p>
    <w:p>
      <w:pPr>
        <w:numPr>
          <w:ilvl w:val="1"/>
          <w:numId w:val="1003"/>
        </w:numPr>
        <w:pStyle w:val="Compact"/>
      </w:pPr>
      <w:r>
        <w:t xml:space="preserve">1.3.6 Bilan de l’import et points de vigilance</w:t>
      </w:r>
    </w:p>
    <w:p>
      <w:pPr>
        <w:numPr>
          <w:ilvl w:val="0"/>
          <w:numId w:val="1001"/>
        </w:numPr>
        <w:pStyle w:val="Compact"/>
      </w:pPr>
      <w:r>
        <w:t xml:space="preserve">1.4 Ce que ces deux reprises ont en commun</w:t>
      </w:r>
    </w:p>
    <w:p>
      <w:pPr>
        <w:pStyle w:val="FirstParagraph"/>
      </w:pPr>
      <w:r>
        <w:t xml:space="preserve">Ce chapitre expose le chantier le plus lourd de l’année : la reconstitution, dans le nouvel</w:t>
      </w:r>
      <w:r>
        <w:t xml:space="preserve"> </w:t>
      </w:r>
      <w:r>
        <w:t xml:space="preserve">ERP, du socle de données du groupe. Il s’est déroulé en deux temps. Le premier semestre a</w:t>
      </w:r>
      <w:r>
        <w:t xml:space="preserve"> </w:t>
      </w:r>
      <w:r>
        <w:t xml:space="preserve">porté sur les structures de gestion, opérations, tranches et budgets, migrées depuis la base</w:t>
      </w:r>
      <w:r>
        <w:t xml:space="preserve"> </w:t>
      </w:r>
      <w:r>
        <w:t xml:space="preserve">historique Grimmo. Le second a porté sur les tiers, c’est-à-dire les clients acquéreurs,</w:t>
      </w:r>
      <w:r>
        <w:t xml:space="preserve"> </w:t>
      </w:r>
      <w:r>
        <w:t xml:space="preserve">repris depuis le CRM Vadimm. Les deux missions partagent une méthode et se distinguent par la</w:t>
      </w:r>
      <w:r>
        <w:t xml:space="preserve"> </w:t>
      </w:r>
      <w:r>
        <w:t xml:space="preserve">question qu’elles posent : injecter des structures suppose de comprendre un modèle de données</w:t>
      </w:r>
      <w:r>
        <w:t xml:space="preserve"> </w:t>
      </w:r>
      <w:r>
        <w:t xml:space="preserve">inconnu ; injecter des personnes suppose de décider ce qui fait qu’une personne est la même.</w:t>
      </w:r>
    </w:p>
    <w:bookmarkStart w:id="30" w:name="ce-que-le-changement-derp-imposait"/>
    <w:p>
      <w:pPr>
        <w:pStyle w:val="Heading2"/>
      </w:pPr>
      <w:r>
        <w:t xml:space="preserve">1.1 Ce que le changement d’ERP imposait</w:t>
      </w:r>
    </w:p>
    <w:p>
      <w:pPr>
        <w:pStyle w:val="FirstParagraph"/>
      </w:pPr>
      <w:r>
        <w:t xml:space="preserve">Le remplacement de Grimmo par SPO a commandé le calendrier de toute l’année, et trois</w:t>
      </w:r>
      <w:r>
        <w:t xml:space="preserve"> </w:t>
      </w:r>
      <w:r>
        <w:t xml:space="preserve">contraintes en découlaient.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d’abord : 283 opérations devaient</w:t>
      </w:r>
      <w:r>
        <w:t xml:space="preserve"> </w:t>
      </w:r>
      <w:r>
        <w:t xml:space="preserve">être reprises avec leurs subdivisions et leurs budgets, échelle à laquelle une saisie manuelle</w:t>
      </w:r>
      <w:r>
        <w:t xml:space="preserve"> </w:t>
      </w:r>
      <w:r>
        <w:t xml:space="preserve">intégrale était exclue.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 </w:t>
      </w:r>
      <w:r>
        <w:t xml:space="preserve">ensuite : les utilisateurs</w:t>
      </w:r>
      <w:r>
        <w:t xml:space="preserve"> </w:t>
      </w:r>
      <w:r>
        <w:t xml:space="preserve">devaient pouvoir facturer dès le basculement, une interruption de deux semaines étant déjà</w:t>
      </w:r>
      <w:r>
        <w:t xml:space="preserve"> </w:t>
      </w:r>
      <w:r>
        <w:t xml:space="preserve">inacceptable.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 </w:t>
      </w:r>
      <w:r>
        <w:t xml:space="preserve">enfin : SPO impose ses propres</w:t>
      </w:r>
      <w:r>
        <w:t xml:space="preserve"> </w:t>
      </w:r>
      <w:r>
        <w:t xml:space="preserve">règles d’intégrité, qui n’étaient pas toutes documentées et qu’il a fallu découvrir en les</w:t>
      </w:r>
      <w:r>
        <w:t xml:space="preserve"> </w:t>
      </w:r>
      <w:r>
        <w:t xml:space="preserve">heurtant.</w:t>
      </w:r>
    </w:p>
    <w:p>
      <w:pPr>
        <w:pStyle w:val="BodyText"/>
      </w:pPr>
      <w:r>
        <w:t xml:space="preserve">La Figure 1.1 situe ces deux reprises dans le système d’information du groupe. Les trois</w:t>
      </w:r>
      <w:r>
        <w:t xml:space="preserve"> </w:t>
      </w:r>
      <w:r>
        <w:t xml:space="preserve">outils et leurs usages métier occupent le haut du schéma, reliés par les flèches qui figurent</w:t>
      </w:r>
      <w:r>
        <w:t xml:space="preserve"> </w:t>
      </w:r>
      <w:r>
        <w:t xml:space="preserve">la circulation normale de la donnée ; les tableurs forment la bande du bas, et les traits</w:t>
      </w:r>
      <w:r>
        <w:t xml:space="preserve"> </w:t>
      </w:r>
      <w:r>
        <w:t xml:space="preserve">pointillés qui les rattachent à chacun d’eux marquent les échanges qui ne passent par aucun</w:t>
      </w:r>
      <w:r>
        <w:t xml:space="preserve"> </w:t>
      </w:r>
      <w:r>
        <w:t xml:space="preserve">système. On y lit le problème que les deux missions de ce chapitre attaquent : le même client</w:t>
      </w:r>
      <w:r>
        <w:t xml:space="preserve"> </w:t>
      </w:r>
      <w:r>
        <w:t xml:space="preserve">pouvait exister dans le CRM et dans l’ERP sans qu’aucun lien ne les rattache.</w:t>
      </w:r>
    </w:p>
    <w:p>
      <w:pPr>
        <w:pStyle w:val="CaptionedFigure"/>
      </w:pPr>
      <w:r>
        <w:drawing>
          <wp:inline>
            <wp:extent cx="5334000" cy="3243684"/>
            <wp:effectExtent b="0" l="0" r="0" t="0"/>
            <wp:docPr descr="Les outils du système d’information et la circulation de la donnée" title="" id="25" name="Picture"/>
            <a:graphic>
              <a:graphicData uri="http://schemas.openxmlformats.org/drawingml/2006/picture">
                <pic:pic>
                  <pic:nvPicPr>
                    <pic:cNvPr descr="figures/fig_1_1_systeme_informa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p>
      <w:pPr>
        <w:pStyle w:val="BodyText"/>
      </w:pPr>
      <w:r>
        <w:t xml:space="preserve">La Figure 1.2 donne la répartition des quatre missions de l’année sur les deux semestres et</w:t>
      </w:r>
      <w:r>
        <w:t xml:space="preserve"> </w:t>
      </w:r>
      <w:r>
        <w:t xml:space="preserve">situe les deux reprises par rapport aux missions filées du chapitre 2 et au projet de Data</w:t>
      </w:r>
      <w:r>
        <w:t xml:space="preserve"> </w:t>
      </w:r>
      <w:r>
        <w:t xml:space="preserve">Science du chapitre 3.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28" name="Picture"/>
            <a:graphic>
              <a:graphicData uri="http://schemas.openxmlformats.org/drawingml/2006/picture">
                <pic:pic>
                  <pic:nvPicPr>
                    <pic:cNvPr descr="figures/fig_1_2_frise_miss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À ces contraintes s’ajoute une perspective absente du calendrier initial : le passage prochain</w:t>
      </w:r>
      <w:r>
        <w:t xml:space="preserve"> </w:t>
      </w:r>
      <w:r>
        <w:t xml:space="preserve">vers l’infrastructure technique du groupe Nexity, qui a influé sur certains choix techniques,</w:t>
      </w:r>
      <w:r>
        <w:t xml:space="preserve"> </w:t>
      </w:r>
      <w:r>
        <w:t xml:space="preserve">notamment lorsqu’il a fallu évaluer si l’architecture retenue pour le projet de Data Science</w:t>
      </w:r>
      <w:r>
        <w:t xml:space="preserve"> </w:t>
      </w:r>
      <w:r>
        <w:t xml:space="preserve">tiendrait à une échelle supérieure.</w:t>
      </w:r>
    </w:p>
    <w:bookmarkEnd w:id="30"/>
    <w:bookmarkStart w:id="41" w:name="la-migration-des-opérations"/>
    <w:p>
      <w:pPr>
        <w:pStyle w:val="Heading2"/>
      </w:pPr>
      <w:r>
        <w:t xml:space="preserve">1.2 La migration des opérations</w:t>
      </w:r>
    </w:p>
    <w:p>
      <w:pPr>
        <w:pStyle w:val="FirstParagraph"/>
      </w:pPr>
      <w:r>
        <w:t xml:space="preserve">Cette mission, conduite au premier semestre, visait un objectif critique : récupérer</w:t>
      </w:r>
      <w:r>
        <w:t xml:space="preserve"> </w:t>
      </w:r>
      <w:r>
        <w:t xml:space="preserve">l’intégralité des opérations immobilières actives pour assurer la continuité de la gestion</w:t>
      </w:r>
      <w:r>
        <w:t xml:space="preserve"> </w:t>
      </w:r>
      <w:r>
        <w:t xml:space="preserve">financière et comptable dans le nouvel environnement.</w:t>
      </w:r>
    </w:p>
    <w:bookmarkStart w:id="31" w:name="Xd91d6130745094fe5ccbe5adac01ddcf9454329"/>
    <w:p>
      <w:pPr>
        <w:pStyle w:val="Heading3"/>
      </w:pPr>
      <w:r>
        <w:t xml:space="preserve">1.2.1 Un arbitrage initial : automatiser ou saisir</w:t>
      </w:r>
    </w:p>
    <w:p>
      <w:pPr>
        <w:pStyle w:val="FirstParagraph"/>
      </w:pPr>
      <w:r>
        <w:t xml:space="preserve">Face aux 283 opérations du périmètre, une saisie manuelle intégrale représentait un risque</w:t>
      </w:r>
      <w:r>
        <w:t xml:space="preserve"> </w:t>
      </w:r>
      <w:r>
        <w:t xml:space="preserve">d’erreur humaine trop élevé et une charge incompatible avec les délais. Nous avons donc opté</w:t>
      </w:r>
      <w:r>
        <w:t xml:space="preserve"> </w:t>
      </w:r>
      <w:r>
        <w:t xml:space="preserve">pour une stratégie hybride : une approche automatisée pour l’injection des gros volumes de</w:t>
      </w:r>
      <w:r>
        <w:t xml:space="preserve"> </w:t>
      </w:r>
      <w:r>
        <w:t xml:space="preserve">données structurelles via les API, et un traitement manuel pour les exceptions et les cas</w:t>
      </w:r>
      <w:r>
        <w:t xml:space="preserve"> </w:t>
      </w:r>
      <w:r>
        <w:t xml:space="preserve">historiques ne pouvant entrer dans les gabarits standardisés.</w:t>
      </w:r>
    </w:p>
    <w:p>
      <w:pPr>
        <w:pStyle w:val="BodyText"/>
      </w:pPr>
      <w:r>
        <w:t xml:space="preserve">Cet arbitrage n’allait pas de soi. Automatiser suppose un investissement initial qui ne se</w:t>
      </w:r>
      <w:r>
        <w:t xml:space="preserve"> </w:t>
      </w:r>
      <w:r>
        <w:t xml:space="preserve">rentabilise que si le volume est suffisant et les données homogènes : sur 283 opérations, la</w:t>
      </w:r>
      <w:r>
        <w:t xml:space="preserve"> </w:t>
      </w:r>
      <w:r>
        <w:t xml:space="preserve">première condition était remplie, la seconde seulement en partie. Vouloir tout automatiser</w:t>
      </w:r>
      <w:r>
        <w:t xml:space="preserve"> </w:t>
      </w:r>
      <w:r>
        <w:t xml:space="preserve">aurait conduit à écrire des règles pour des cas uniques, ce qui coûte plus cher que de les</w:t>
      </w:r>
      <w:r>
        <w:t xml:space="preserve"> </w:t>
      </w:r>
      <w:r>
        <w:t xml:space="preserve">traiter à la main.</w:t>
      </w:r>
    </w:p>
    <w:bookmarkEnd w:id="31"/>
    <w:bookmarkStart w:id="32" w:name="X53126efc56231d01e424b03c5d91caf23802669"/>
    <w:p>
      <w:pPr>
        <w:pStyle w:val="Heading3"/>
      </w:pPr>
      <w:r>
        <w:t xml:space="preserve">1.2.2 Appropriation technique et industrialisation des flux</w:t>
      </w:r>
    </w:p>
    <w:p>
      <w:pPr>
        <w:pStyle w:val="FirstParagraph"/>
      </w:pPr>
      <w:r>
        <w:t xml:space="preserve">Avant de manipuler les données de masse, il fallait maîtriser le modèle de données cible. Ma</w:t>
      </w:r>
      <w:r>
        <w:t xml:space="preserve"> </w:t>
      </w:r>
      <w:r>
        <w:t xml:space="preserve">première tâche a consisté à analyser la documentation technique de l’API de Salvia [2], puis à</w:t>
      </w:r>
      <w:r>
        <w:t xml:space="preserve"> </w:t>
      </w:r>
      <w:r>
        <w:t xml:space="preserve">mener une phase de tests unitaires en appelant manuellement les différents</w:t>
      </w:r>
      <w:r>
        <w:t xml:space="preserve"> </w:t>
      </w:r>
      <w:r>
        <w:rPr>
          <w:iCs/>
          <w:i/>
        </w:rPr>
        <w:t xml:space="preserve">endpoints</w:t>
      </w:r>
      <w:r>
        <w:t xml:space="preserve"> </w:t>
      </w:r>
      <w:r>
        <w:t xml:space="preserve">pour</w:t>
      </w:r>
      <w:r>
        <w:t xml:space="preserve"> </w:t>
      </w:r>
      <w:r>
        <w:t xml:space="preserve">décortiquer la mécanique de création d’une donnée. Deux informations distinctes en sont</w:t>
      </w:r>
      <w:r>
        <w:t xml:space="preserve"> </w:t>
      </w:r>
      <w:r>
        <w:t xml:space="preserve">sorties : quels champs l’ERP exige pour accepter une création, ce que la documentation décrit</w:t>
      </w:r>
      <w:r>
        <w:t xml:space="preserve"> </w:t>
      </w:r>
      <w:r>
        <w:t xml:space="preserve">mais qui reste théorique tant qu’on n’a pas vu le service refuser ; et dans quel ordre il faut</w:t>
      </w:r>
      <w:r>
        <w:t xml:space="preserve"> </w:t>
      </w:r>
      <w:r>
        <w:t xml:space="preserve">créer les objets entre eux, qui n’était pas explicité et qui a occupé la suite du travail.</w:t>
      </w:r>
    </w:p>
    <w:p>
      <w:pPr>
        <w:pStyle w:val="BodyText"/>
      </w:pPr>
      <w:r>
        <w:t xml:space="preserve">Cette phase peut sembler improductive, puisqu’elle ne crée aucune donnée. Je la considère</w:t>
      </w:r>
      <w:r>
        <w:t xml:space="preserve"> </w:t>
      </w:r>
      <w:r>
        <w:t xml:space="preserve">pourtant comme la plus rentable du projet : chaque règle découverte à ce stade sur un objet</w:t>
      </w:r>
      <w:r>
        <w:t xml:space="preserve"> </w:t>
      </w:r>
      <w:r>
        <w:t xml:space="preserve">unique aurait coûté, découverte plus tard, un rejet sur plusieurs centaines de lignes.</w:t>
      </w:r>
    </w:p>
    <w:p>
      <w:pPr>
        <w:pStyle w:val="BodyText"/>
      </w:pPr>
      <w:r>
        <w:t xml:space="preserve">Nous avons ensuite déployé le module DirectAPI de l’éditeur, conçu pour interfacer des</w:t>
      </w:r>
      <w:r>
        <w:t xml:space="preserve"> </w:t>
      </w:r>
      <w:r>
        <w:t xml:space="preserve">fichiers plats avec l’ERP, dont j’ai construit l’intégralité du pipeline d’alimentation sous</w:t>
      </w:r>
      <w:r>
        <w:t xml:space="preserve"> </w:t>
      </w:r>
      <w:r>
        <w:t xml:space="preserve">la forme de maquettes Excel en trois étapes :</w:t>
      </w:r>
      <w:r>
        <w:t xml:space="preserve"> </w:t>
      </w:r>
      <w:r>
        <w:rPr>
          <w:bCs/>
          <w:b/>
        </w:rPr>
        <w:t xml:space="preserve">extraction</w:t>
      </w:r>
      <w:r>
        <w:t xml:space="preserve"> </w:t>
      </w:r>
      <w:r>
        <w:t xml:space="preserve">de la base source par MyReport</w:t>
      </w:r>
      <w:r>
        <w:t xml:space="preserve"> </w:t>
      </w:r>
      <w:r>
        <w:t xml:space="preserve">Builder,</w:t>
      </w:r>
      <w:r>
        <w:t xml:space="preserve"> </w:t>
      </w:r>
      <w:r>
        <w:rPr>
          <w:bCs/>
          <w:b/>
        </w:rPr>
        <w:t xml:space="preserve">transformation et mapping</w:t>
      </w:r>
      <w:r>
        <w:t xml:space="preserve"> </w:t>
      </w:r>
      <w:r>
        <w:t xml:space="preserve">par formules RechercheX,</w:t>
      </w:r>
      <w:r>
        <w:t xml:space="preserve"> </w:t>
      </w:r>
      <w:r>
        <w:rPr>
          <w:bCs/>
          <w:b/>
        </w:rPr>
        <w:t xml:space="preserve">chargement</w:t>
      </w:r>
      <w:r>
        <w:t xml:space="preserve"> </w:t>
      </w:r>
      <w:r>
        <w:t xml:space="preserve">via DirectAPI.</w:t>
      </w:r>
    </w:p>
    <w:p>
      <w:pPr>
        <w:pStyle w:val="BodyText"/>
      </w:pPr>
      <w:r>
        <w:t xml:space="preserve">L’étape de transformation est celle qui a demandé le plus de travail, et celle dont dépendait</w:t>
      </w:r>
      <w:r>
        <w:t xml:space="preserve"> </w:t>
      </w:r>
      <w:r>
        <w:t xml:space="preserve">la validité de tout le reste. La nomenclature de SPO est stricte : un libellé de poste</w:t>
      </w:r>
      <w:r>
        <w:t xml:space="preserve"> </w:t>
      </w:r>
      <w:r>
        <w:t xml:space="preserve">budgétaire ou un type de tranche doit correspondre à une valeur que le nouveau système</w:t>
      </w:r>
      <w:r>
        <w:t xml:space="preserve"> </w:t>
      </w:r>
      <w:r>
        <w:t xml:space="preserve">reconnaît, faute de quoi la ligne est rejetée. Les correspondances viennent soit des tables de</w:t>
      </w:r>
      <w:r>
        <w:t xml:space="preserve"> </w:t>
      </w:r>
      <w:r>
        <w:t xml:space="preserve">paramétrage extraites de SPO, où une divergence est une erreur de lecture, soit de fichiers de</w:t>
      </w:r>
      <w:r>
        <w:t xml:space="preserve"> </w:t>
      </w:r>
      <w:r>
        <w:t xml:space="preserve">mapping que j’ai constitués, dont je réponds. Excel a été retenu comme moteur de</w:t>
      </w:r>
      <w:r>
        <w:t xml:space="preserve"> </w:t>
      </w:r>
      <w:r>
        <w:t xml:space="preserve">transformation parce que la maquette reste relisible par les personnes qui connaissent le</w:t>
      </w:r>
      <w:r>
        <w:t xml:space="preserve"> </w:t>
      </w:r>
      <w:r>
        <w:t xml:space="preserve">métier et non le code, et qu’une correspondance douteuse peut leur être montrée telle quelle.</w:t>
      </w:r>
    </w:p>
    <w:p>
      <w:pPr>
        <w:pStyle w:val="BodyText"/>
      </w:pPr>
      <w:r>
        <w:t xml:space="preserve">Pour sécuriser le processus, j’ai appliqué une validation itérative : 3 opérations pilotes,</w:t>
      </w:r>
      <w:r>
        <w:t xml:space="preserve"> </w:t>
      </w:r>
      <w:r>
        <w:t xml:space="preserve">puis un lot de 12, avant la migration de masse. Cette progression par paliers rend les erreurs</w:t>
      </w:r>
      <w:r>
        <w:t xml:space="preserve"> </w:t>
      </w:r>
      <w:r>
        <w:t xml:space="preserve">lisibles : sur trois opérations, un rejet s’analyse en quelques minutes ; sur plusieurs</w:t>
      </w:r>
      <w:r>
        <w:t xml:space="preserve"> </w:t>
      </w:r>
      <w:r>
        <w:t xml:space="preserve">dizaines, les messages se mélangent et il devient difficile de savoir quelle règle a été</w:t>
      </w:r>
      <w:r>
        <w:t xml:space="preserve"> </w:t>
      </w:r>
      <w:r>
        <w:t xml:space="preserve">violée.</w:t>
      </w:r>
    </w:p>
    <w:bookmarkEnd w:id="32"/>
    <w:bookmarkStart w:id="39" w:name="Xf7f289eb01046c24fa0185f6b14b28e5fb6116c"/>
    <w:p>
      <w:pPr>
        <w:pStyle w:val="Heading3"/>
      </w:pPr>
      <w:r>
        <w:t xml:space="preserve">1.2.3 Dépendances hiérarchiques, identifiants et versionnement</w:t>
      </w:r>
    </w:p>
    <w:p>
      <w:pPr>
        <w:pStyle w:val="FirstParagraph"/>
      </w:pPr>
      <w:r>
        <w:t xml:space="preserve">Deux difficultés structurelles ont mobilisé l’essentiel de mon temps, et elles relèvent moins</w:t>
      </w:r>
      <w:r>
        <w:t xml:space="preserve"> </w:t>
      </w:r>
      <w:r>
        <w:t xml:space="preserve">du transfert de données que de la rétro-ingénierie des processus de l’ERP.</w:t>
      </w:r>
    </w:p>
    <w:p>
      <w:pPr>
        <w:pStyle w:val="BodyText"/>
      </w:pPr>
      <w:r>
        <w:t xml:space="preserve">La première a été de décrypter l’ordre strict d’injection, contrainte d’intégrité</w:t>
      </w:r>
      <w:r>
        <w:t xml:space="preserve"> </w:t>
      </w:r>
      <w:r>
        <w:t xml:space="preserve">référentielle qui n’était pas explicitée par la documentation de l’éditeur. Je l’ai découverte</w:t>
      </w:r>
      <w:r>
        <w:t xml:space="preserve"> </w:t>
      </w:r>
      <w:r>
        <w:t xml:space="preserve">empiriquement, en analysant les codes d’erreur renvoyés par l’API : il faut créer l’opération,</w:t>
      </w:r>
      <w:r>
        <w:t xml:space="preserve"> </w:t>
      </w:r>
      <w:r>
        <w:t xml:space="preserve">puis les tranches de travaux, puis les tranches commerciales, puis le budget associé. La</w:t>
      </w:r>
      <w:r>
        <w:t xml:space="preserve"> </w:t>
      </w:r>
      <w:r>
        <w:t xml:space="preserve">Figure 1.3 représente cette séquence. Toute injection ne respectant pas cet ordre se solde par</w:t>
      </w:r>
      <w:r>
        <w:t xml:space="preserve"> </w:t>
      </w:r>
      <w:r>
        <w:t xml:space="preserve">un échec, le système ne trouvant pas l’objet parent.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34" name="Picture"/>
            <a:graphic>
              <a:graphicData uri="http://schemas.openxmlformats.org/drawingml/2006/picture">
                <pic:pic>
                  <pic:nvPicPr>
                    <pic:cNvPr descr="figures/fig_1_3_sequence_injec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La séquence d’injection imposée par l’intégrité référentielle de l’ERP</w:t>
      </w:r>
    </w:p>
    <w:p>
      <w:pPr>
        <w:pStyle w:val="BodyText"/>
      </w:pPr>
      <w:r>
        <w:t xml:space="preserve">Face à ce manque de clarté, j’ai pris l’initiative de rédiger une documentation interne</w:t>
      </w:r>
      <w:r>
        <w:t xml:space="preserve"> </w:t>
      </w:r>
      <w:r>
        <w:t xml:space="preserve">cartographiant les étapes de la séquence et les prérequis de chaque objet, c’est-à-dire, pour</w:t>
      </w:r>
      <w:r>
        <w:t xml:space="preserve"> </w:t>
      </w:r>
      <w:r>
        <w:t xml:space="preserve">chaque type de donnée à créer, ce qui doit exister avant lui. Je l’ai fait parce que les</w:t>
      </w:r>
      <w:r>
        <w:t xml:space="preserve"> </w:t>
      </w:r>
      <w:r>
        <w:t xml:space="preserve">règles que les codes d’erreur m’avaient révélées n’existaient nulle part ailleurs que dans mes</w:t>
      </w:r>
      <w:r>
        <w:t xml:space="preserve"> </w:t>
      </w:r>
      <w:r>
        <w:t xml:space="preserve">notes de test. C’est le premier livrable écrit de mon année qui n’était pas un fichier de</w:t>
      </w:r>
      <w:r>
        <w:t xml:space="preserve"> </w:t>
      </w:r>
      <w:r>
        <w:t xml:space="preserve">données, et c’est celui qui a le plus servi aux autres : la reprise des tiers, exposée plus</w:t>
      </w:r>
      <w:r>
        <w:t xml:space="preserve"> </w:t>
      </w:r>
      <w:r>
        <w:t xml:space="preserve">bas, s’est appuyée directement dessus.</w:t>
      </w:r>
    </w:p>
    <w:p>
      <w:pPr>
        <w:pStyle w:val="BodyText"/>
      </w:pPr>
      <w:r>
        <w:t xml:space="preserve">La seconde difficulté concernait les identifiants uniques dans le cadre des mises à jour, par</w:t>
      </w:r>
      <w:r>
        <w:t xml:space="preserve"> </w:t>
      </w:r>
      <w:r>
        <w:t xml:space="preserve">exemple pour rectifier un montant de budget après sa création. Ces identifiants système</w:t>
      </w:r>
      <w:r>
        <w:t xml:space="preserve"> </w:t>
      </w:r>
      <w:r>
        <w:t xml:space="preserve">n’étaient visibles nulle part dans l’interface, et l’architecture de l’API repose sur un</w:t>
      </w:r>
      <w:r>
        <w:t xml:space="preserve"> </w:t>
      </w:r>
      <w:r>
        <w:t xml:space="preserve">principe de versionnement et non d’écrasement : lors de la modification d’un budget, le</w:t>
      </w:r>
      <w:r>
        <w:t xml:space="preserve"> </w:t>
      </w:r>
      <w:r>
        <w:t xml:space="preserve">système ne met pas à jour la ligne existante, il clôture la version précédente et en crée une</w:t>
      </w:r>
      <w:r>
        <w:t xml:space="preserve"> </w:t>
      </w:r>
      <w:r>
        <w:t xml:space="preserve">nouvelle avec un nouvel identifiant. Ne pouvant me fier à aucun identifiant statique, j’ai</w:t>
      </w:r>
      <w:r>
        <w:t xml:space="preserve"> </w:t>
      </w:r>
      <w:r>
        <w:t xml:space="preserve">conçu une logique de requêtage dynamique en trois temps, que résume la Figure 1.4 : un appel</w:t>
      </w:r>
      <w:r>
        <w:t xml:space="preserve"> </w:t>
      </w:r>
      <w:r>
        <w:t xml:space="preserve">GET pour récupérer toutes les versions de budget liées à une opération, un tri pour identifier</w:t>
      </w:r>
      <w:r>
        <w:t xml:space="preserve"> </w:t>
      </w:r>
      <w:r>
        <w:t xml:space="preserve">l’identifiant de la version la plus récente, puis un appel POST sur cet identifiant.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37" name="Picture"/>
            <a:graphic>
              <a:graphicData uri="http://schemas.openxmlformats.org/drawingml/2006/picture">
                <pic:pic>
                  <pic:nvPicPr>
                    <pic:cNvPr descr="figures/fig_1_4_requetage_dynamiqu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 requêtage dynamique imposé par le versionnement des budgets</w:t>
      </w:r>
    </w:p>
    <w:p>
      <w:pPr>
        <w:pStyle w:val="BodyText"/>
      </w:pPr>
      <w:r>
        <w:t xml:space="preserve">Cette contrainte m’a appris quelque chose de plus général sur les interfaces de programmation :</w:t>
      </w:r>
      <w:r>
        <w:t xml:space="preserve"> </w:t>
      </w:r>
      <w:r>
        <w:t xml:space="preserve">une API ne se contente pas d’exposer des données, elle impose un modèle de comportement. Le</w:t>
      </w:r>
      <w:r>
        <w:t xml:space="preserve"> </w:t>
      </w:r>
      <w:r>
        <w:t xml:space="preserve">versionnement traduit ici une exigence d’auditabilité comptable parfaitement légitime, mais</w:t>
      </w:r>
      <w:r>
        <w:t xml:space="preserve"> </w:t>
      </w:r>
      <w:r>
        <w:t xml:space="preserve">qui rend impossible toute écriture naïve. Comprendre l’intention derrière la contrainte est ce</w:t>
      </w:r>
      <w:r>
        <w:t xml:space="preserve"> </w:t>
      </w:r>
      <w:r>
        <w:t xml:space="preserve">qui permet de la contourner proprement plutôt que de lutter contre elle.</w:t>
      </w:r>
    </w:p>
    <w:bookmarkEnd w:id="39"/>
    <w:bookmarkStart w:id="40" w:name="Xbfd42b4be9f1e19fcab576a7eef77475e62d94b"/>
    <w:p>
      <w:pPr>
        <w:pStyle w:val="Heading3"/>
      </w:pPr>
      <w:r>
        <w:t xml:space="preserve">1.2.4 Le déploiement en « coquilles vides » et le bilan du semestre</w:t>
      </w:r>
    </w:p>
    <w:p>
      <w:pPr>
        <w:pStyle w:val="FirstParagraph"/>
      </w:pPr>
      <w:r>
        <w:t xml:space="preserve">Ces complexités, jointes aux délais imposés par la direction, nous ont confrontés à un</w:t>
      </w:r>
      <w:r>
        <w:t xml:space="preserve"> </w:t>
      </w:r>
      <w:r>
        <w:t xml:space="preserve">arbitrage entre perfection technique et urgence opérationnelle. La contrainte majeure venait</w:t>
      </w:r>
      <w:r>
        <w:t xml:space="preserve"> </w:t>
      </w:r>
      <w:r>
        <w:t xml:space="preserve">du besoin des utilisateurs de facturer dès le basculement : pour que ce processus fonctionne,</w:t>
      </w:r>
      <w:r>
        <w:t xml:space="preserve"> </w:t>
      </w:r>
      <w:r>
        <w:t xml:space="preserve">et notamment le lien avec la Gestion Électronique des Documents (GED), il fallait que les</w:t>
      </w:r>
      <w:r>
        <w:t xml:space="preserve"> </w:t>
      </w:r>
      <w:r>
        <w:t xml:space="preserve">opérations existent dans l’ERP, même sans leur historique.</w:t>
      </w:r>
    </w:p>
    <w:p>
      <w:pPr>
        <w:pStyle w:val="BodyText"/>
      </w:pPr>
      <w:r>
        <w:t xml:space="preserve">Nous avons donc adopté une stratégie de déploiement en « coquilles vides », qui dissocie le</w:t>
      </w:r>
      <w:r>
        <w:t xml:space="preserve"> </w:t>
      </w:r>
      <w:r>
        <w:t xml:space="preserve">contenant — la structure de l’opération — du contenu, c’est-à-dire les données budgétaires</w:t>
      </w:r>
      <w:r>
        <w:t xml:space="preserve"> </w:t>
      </w:r>
      <w:r>
        <w:t xml:space="preserve">détaillées. Le plan de migration a été réorienté pour créer massivement les fiches opérations</w:t>
      </w:r>
      <w:r>
        <w:t xml:space="preserve"> </w:t>
      </w:r>
      <w:r>
        <w:t xml:space="preserve">et injecter en priorité ce qui est indispensable à la facturation, code opération et libellé,</w:t>
      </w:r>
      <w:r>
        <w:t xml:space="preserve"> </w:t>
      </w:r>
      <w:r>
        <w:t xml:space="preserve">en laissant de côté les budgets passés et le détail des tranches.</w:t>
      </w:r>
    </w:p>
    <w:p>
      <w:pPr>
        <w:pStyle w:val="BodyText"/>
      </w:pPr>
      <w:r>
        <w:t xml:space="preserve">C’est la décision dont j’ai le plus appris en matière de conduite de projet. Elle suppose</w:t>
      </w:r>
      <w:r>
        <w:t xml:space="preserve"> </w:t>
      </w:r>
      <w:r>
        <w:t xml:space="preserve">d’accepter qu’un système soit temporairement incomplet et de le documenter comme tel, plutôt</w:t>
      </w:r>
      <w:r>
        <w:t xml:space="preserve"> </w:t>
      </w:r>
      <w:r>
        <w:t xml:space="preserve">que de retarder la mise en service jusqu’à la complétude. Le risque est réel : une donnée</w:t>
      </w:r>
      <w:r>
        <w:t xml:space="preserve"> </w:t>
      </w:r>
      <w:r>
        <w:t xml:space="preserve">manquante que personne ne signale finit par être considérée comme absente pour de bon. Nous</w:t>
      </w:r>
      <w:r>
        <w:t xml:space="preserve"> </w:t>
      </w:r>
      <w:r>
        <w:t xml:space="preserve">l’avons couvert en tenant la liste de ce qui restait à reprendre, ce qui a transformé une</w:t>
      </w:r>
      <w:r>
        <w:t xml:space="preserve"> </w:t>
      </w:r>
      <w:r>
        <w:t xml:space="preserve">dette implicite en dette suivie. La stratégie a débloqué immédiatement la facturation et</w:t>
      </w:r>
      <w:r>
        <w:t xml:space="preserve"> </w:t>
      </w:r>
      <w:r>
        <w:t xml:space="preserve">offert un délai précieux pour traiter la reprise au fil de l’eau.</w:t>
      </w:r>
    </w:p>
    <w:p>
      <w:pPr>
        <w:pStyle w:val="BodyText"/>
      </w:pPr>
      <w:r>
        <w:t xml:space="preserve">À la fin du premier semestre, nous n’étions qu’au début de ce chantier. La structure</w:t>
      </w:r>
      <w:r>
        <w:t xml:space="preserve"> </w:t>
      </w:r>
      <w:r>
        <w:t xml:space="preserve">fondamentale des dossiers était modélisée et intégrée — opérations et tranches de travaux, la</w:t>
      </w:r>
      <w:r>
        <w:t xml:space="preserve"> </w:t>
      </w:r>
      <w:r>
        <w:t xml:space="preserve">création des tranches commerciales étant encore en cours — mais l’intégration des données</w:t>
      </w:r>
      <w:r>
        <w:t xml:space="preserve"> </w:t>
      </w:r>
      <w:r>
        <w:t xml:space="preserve">financières et comptables restait à accomplir, notamment la reprise détaillée des budgets et</w:t>
      </w:r>
      <w:r>
        <w:t xml:space="preserve"> </w:t>
      </w:r>
      <w:r>
        <w:t xml:space="preserve">de l’historique des factures.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 pour l’ensemble du périmètre, 283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en cours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 coquilles vides 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</w:t>
            </w:r>
          </w:p>
        </w:tc>
      </w:tr>
    </w:tbl>
    <w:p>
      <w:pPr>
        <w:pStyle w:val="BodyText"/>
      </w:pPr>
      <w:r>
        <w:t xml:space="preserve">Ce 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bookmarkEnd w:id="40"/>
    <w:bookmarkEnd w:id="41"/>
    <w:bookmarkStart w:id="69" w:name="la-reprise-des-tiers"/>
    <w:p>
      <w:pPr>
        <w:pStyle w:val="Heading2"/>
      </w:pPr>
      <w:r>
        <w:t xml:space="preserve">1.3 La reprise des tiers</w:t>
      </w:r>
    </w:p>
    <w:p>
      <w:pPr>
        <w:pStyle w:val="FirstParagraph"/>
      </w:pPr>
      <w:r>
        <w:t xml:space="preserve">Conduite au second semestre, cette mission prolonge directement la précédente et constitue le</w:t>
      </w:r>
      <w:r>
        <w:t xml:space="preserve"> </w:t>
      </w:r>
      <w:r>
        <w:t xml:space="preserve">premier pas vers l’interopérabilité entre l’ERP et le CRM : elle transfère le référentiel</w:t>
      </w:r>
      <w:r>
        <w:t xml:space="preserve"> </w:t>
      </w:r>
      <w:r>
        <w:t xml:space="preserve">client, la synchronisation permanente sans double saisie restant à construire. Elle change</w:t>
      </w:r>
      <w:r>
        <w:t xml:space="preserve"> </w:t>
      </w:r>
      <w:r>
        <w:t xml:space="preserve">toutefois de nature : il ne s’agit plus d’injecter des structures de gestion, mais des</w:t>
      </w:r>
      <w:r>
        <w:t xml:space="preserve"> </w:t>
      </w:r>
      <w:r>
        <w:t xml:space="preserve">personnes, avec ce que cela implique de risques de doublons et d’exigence de qualité.</w:t>
      </w:r>
    </w:p>
    <w:bookmarkStart w:id="44" w:name="Xe361138e07d16e5763359e117cee853978abd72"/>
    <w:p>
      <w:pPr>
        <w:pStyle w:val="Heading3"/>
      </w:pPr>
      <w:r>
        <w:t xml:space="preserve">1.3.1 Contexte et enjeux de la reprise des tiers</w:t>
      </w:r>
    </w:p>
    <w:bookmarkStart w:id="42" w:name="X51dd8a6350dcc959e6f14a0876a7e4c29aa0282"/>
    <w:p>
      <w:pPr>
        <w:pStyle w:val="Heading4"/>
      </w:pPr>
      <w:r>
        <w:t xml:space="preserve">1.3.1.1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 lots</w:t>
      </w:r>
      <w:r>
        <w:t xml:space="preserve"> </w:t>
      </w:r>
      <w:r>
        <w:t xml:space="preserve">successifs. Après la création des opérations immobilières et de leurs tranches, il restait à</w:t>
      </w:r>
      <w:r>
        <w:t xml:space="preserve"> </w:t>
      </w:r>
      <w:r>
        <w:t xml:space="preserve">reprendre les données commerciales, et en premier lieu les clients. Dans SPO,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 rôles.</w:t>
      </w:r>
      <w:r>
        <w:t xml:space="preserve"> </w:t>
      </w:r>
      <w:r>
        <w:t xml:space="preserve">Reprendre les tiers signifiait donc alimenter le socle sur lequel toute la gestion commerciale</w:t>
      </w:r>
      <w:r>
        <w:t xml:space="preserve"> </w:t>
      </w:r>
      <w:r>
        <w:t xml:space="preserve">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 (</w:t>
      </w:r>
      <w:r>
        <w:rPr>
          <w:iCs/>
          <w:i/>
        </w:rPr>
        <w:t xml:space="preserve">Customer</w:t>
      </w:r>
      <w:r>
        <w:rPr>
          <w:iCs/>
          <w:i/>
        </w:rPr>
        <w:t xml:space="preserve"> </w:t>
      </w:r>
      <w:r>
        <w:rPr>
          <w:iCs/>
          <w:i/>
        </w:rPr>
        <w:t xml:space="preserve">Relationship Management</w:t>
      </w:r>
      <w:r>
        <w:t xml:space="preserve">, l’outil de gestion de la relation client) Vadimm, sous la forme de</w:t>
      </w:r>
      <w:r>
        <w:t xml:space="preserve"> </w:t>
      </w:r>
      <w:r>
        <w:t xml:space="preserve">deux extractions complémentaires : celle des ventes enregistrées, qui porte 1 557 lignes, et</w:t>
      </w:r>
      <w:r>
        <w:t xml:space="preserve"> </w:t>
      </w:r>
      <w:r>
        <w:t xml:space="preserve">celle des coordonnées de contact des acquéreurs et de leurs co-acquéreurs, qui en porte 1 602.</w:t>
      </w:r>
      <w:r>
        <w:t xml:space="preserve"> </w:t>
      </w:r>
      <w:r>
        <w:t xml:space="preserve">Les deux extractions ne se recouvrent donc pas exactement, et l’écart de 45 lignes entre elles</w:t>
      </w:r>
      <w:r>
        <w:t xml:space="preserve"> </w:t>
      </w:r>
      <w:r>
        <w:t xml:space="preserve">n’est pas documenté dans les fichiers sources ; il s’explique vraisemblablement par des contacts</w:t>
      </w:r>
      <w:r>
        <w:t xml:space="preserve"> </w:t>
      </w:r>
      <w:r>
        <w:t xml:space="preserve">renseignés sans vente correspondante. J’ai retenu le plus large des deux totaux, pour ne perdre</w:t>
      </w:r>
      <w:r>
        <w:t xml:space="preserve"> </w:t>
      </w:r>
      <w:r>
        <w:t xml:space="preserve">aucun acquéreur en entrée de chaîne : le périmètre de travail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 c’est</w:t>
      </w:r>
      <w:r>
        <w:t xml:space="preserve"> </w:t>
      </w:r>
      <w:r>
        <w:t xml:space="preserve">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</w:t>
      </w:r>
      <w:r>
        <w:t xml:space="preserve"> </w:t>
      </w:r>
      <w:r>
        <w:t xml:space="preserve">une 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 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42"/>
    <w:bookmarkStart w:id="43" w:name="lenjeu-central-créer-sans-dupliquer"/>
    <w:p>
      <w:pPr>
        <w:pStyle w:val="Heading4"/>
      </w:pPr>
      <w:r>
        <w:t xml:space="preserve">1.3.1.2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43"/>
    <w:bookmarkEnd w:id="44"/>
    <w:bookmarkStart w:id="50" w:name="X874fc18de8a1eecd350e55b90219d3d5272c81c"/>
    <w:p>
      <w:pPr>
        <w:pStyle w:val="Heading3"/>
      </w:pPr>
      <w:r>
        <w:t xml:space="preserve">1.3.2 Conception du fichier de travail : une chaîne de traitement pilotée par formules</w:t>
      </w:r>
    </w:p>
    <w:bookmarkStart w:id="48" w:name="Xb36129c71efebcaf52db8a3f0db2a59757cf358"/>
    <w:p>
      <w:pPr>
        <w:pStyle w:val="Heading4"/>
      </w:pPr>
      <w:r>
        <w:t xml:space="preserve">1.3.2.1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46" name="Picture"/>
            <a:graphic>
              <a:graphicData uri="http://schemas.openxmlformats.org/drawingml/2006/picture">
                <pic:pic>
                  <pic:nvPicPr>
                    <pic:cNvPr descr="figures/fig_1_5_chaine_traitemen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48"/>
    <w:bookmarkStart w:id="49" w:name="Xc561d59e2959c4252bdc762a8b3c6099541ba75"/>
    <w:p>
      <w:pPr>
        <w:pStyle w:val="Heading4"/>
      </w:pPr>
      <w:r>
        <w:t xml:space="preserve">1.3.2.2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L’interface du module DirectAPI le montre directement</w:t>
      </w:r>
      <w:r>
        <w:t xml:space="preserve"> </w:t>
      </w:r>
      <w:r>
        <w:t xml:space="preserve">lorsque la ressource « Tiers » y est sélectionnée :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49"/>
    <w:bookmarkEnd w:id="50"/>
    <w:bookmarkStart w:id="60" w:name="les-trois-mécanismes-algorithmiques"/>
    <w:p>
      <w:pPr>
        <w:pStyle w:val="Heading3"/>
      </w:pPr>
      <w:r>
        <w:t xml:space="preserve">1.3.3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51" w:name="X25567ac3b9c165f27b3c00e936fcd14508ffd86"/>
    <w:p>
      <w:pPr>
        <w:pStyle w:val="Heading4"/>
      </w:pPr>
      <w:r>
        <w:t xml:space="preserve">1.3.3.1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 ce</w:t>
      </w:r>
      <w:r>
        <w:t xml:space="preserve"> </w:t>
      </w:r>
      <w:r>
        <w:t xml:space="preserve">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 été</w:t>
      </w:r>
      <w:r>
        <w:t xml:space="preserve"> </w:t>
      </w:r>
      <w:r>
        <w:t xml:space="preserve">découverte que bien plus tard, dans l’usage quotidien de l’ERP.</w:t>
      </w:r>
    </w:p>
    <w:bookmarkEnd w:id="51"/>
    <w:bookmarkStart w:id="55" w:name="Xed9f9aadc86800bee5b2628c12d2096a19bdeba"/>
    <w:p>
      <w:pPr>
        <w:pStyle w:val="Heading4"/>
      </w:pPr>
      <w:r>
        <w:t xml:space="preserve">1.3.3.2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6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6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6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1.6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53" name="Picture"/>
            <a:graphic>
              <a:graphicData uri="http://schemas.openxmlformats.org/drawingml/2006/picture">
                <pic:pic>
                  <pic:nvPicPr>
                    <pic:cNvPr descr="figures/fig_1_6_entonnoir_volumetri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1.6 – De 1 602 lignes de départ à 1 434 tiers créés : l’effet des deux filtres successifs</w:t>
      </w:r>
    </w:p>
    <w:bookmarkEnd w:id="55"/>
    <w:bookmarkStart w:id="59" w:name="X8e48716cd2519bf25bfa7252f2937d1001c6cbb"/>
    <w:p>
      <w:pPr>
        <w:pStyle w:val="Heading4"/>
      </w:pPr>
      <w:r>
        <w:t xml:space="preserve">1.3.3.3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 tient</w:t>
      </w:r>
      <w:r>
        <w:t xml:space="preserve"> </w:t>
      </w:r>
      <w:r>
        <w:t xml:space="preserve">à ce que ces feuilles n’ont ni la même population ni le même nombre de lignes. La feuille des</w:t>
      </w:r>
      <w:r>
        <w:t xml:space="preserve"> </w:t>
      </w:r>
      <w:r>
        <w:t xml:space="preserve">tiers reçoit un enregistrement par tiers créé, mais la feuille des adresses ne concerne que les</w:t>
      </w:r>
      <w:r>
        <w:t xml:space="preserve"> </w:t>
      </w:r>
      <w:r>
        <w:t xml:space="preserve">personnes physiques et morales, celle des courriels seulement celles de ces personnes dont le</w:t>
      </w:r>
      <w:r>
        <w:t xml:space="preserve"> </w:t>
      </w:r>
      <w:r>
        <w:t xml:space="preserve">courriel est renseigné, et celle des représentants deux lignes par couple plus une par société.</w:t>
      </w:r>
      <w:r>
        <w:t xml:space="preserve"> </w:t>
      </w:r>
      <w:r>
        <w:t xml:space="preserve">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1.7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 Client 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1.3.2.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57" name="Picture"/>
            <a:graphic>
              <a:graphicData uri="http://schemas.openxmlformats.org/drawingml/2006/picture">
                <pic:pic>
                  <pic:nvPicPr>
                    <pic:cNvPr descr="figures/fig_1_7_volumetrie_fichiers_impor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1.7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59"/>
    <w:bookmarkEnd w:id="60"/>
    <w:bookmarkStart w:id="63" w:name="X9f16b6badd74dad5d51a141a34c6403b7364c15"/>
    <w:p>
      <w:pPr>
        <w:pStyle w:val="Heading3"/>
      </w:pPr>
      <w:r>
        <w:t xml:space="preserve">1.3.4 De la préparation à l’injection : procédure et contraintes techniques</w:t>
      </w:r>
    </w:p>
    <w:bookmarkStart w:id="61" w:name="X089274de5f94372c49c715cfd2b3239808f155b"/>
    <w:p>
      <w:pPr>
        <w:pStyle w:val="Heading4"/>
      </w:pPr>
      <w:r>
        <w:t xml:space="preserve">1.3.4.1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mobilisé quatre</w:t>
      </w:r>
      <w:r>
        <w:t xml:space="preserve"> </w:t>
      </w:r>
      <w:r>
        <w:t xml:space="preserve">contraintes de format que la documentation ne mentionnait pas et que les premiers rejets ont</w:t>
      </w:r>
      <w:r>
        <w:t xml:space="preserve"> </w:t>
      </w:r>
      <w:r>
        <w:t xml:space="preserve">fait apparaître : un encodage UTF-8 avec le point-virgule pour séparateur, seule</w:t>
      </w:r>
      <w:r>
        <w:t xml:space="preserve"> </w:t>
      </w:r>
      <w:r>
        <w:t xml:space="preserve">configuration acceptée ; la conversion en ASCII pur de tous les noms, prénoms, adresses et</w:t>
      </w:r>
      <w:r>
        <w:t xml:space="preserve"> </w:t>
      </w:r>
      <w:r>
        <w:t xml:space="preserve">professions, SPO refusant les caractères accentués ; la suppression de la seconde ligne</w:t>
      </w:r>
      <w:r>
        <w:t xml:space="preserve"> </w:t>
      </w:r>
      <w:r>
        <w:t xml:space="preserve">d’en-tête des feuilles de travail ; et le découpage en lots de 200 tiers au maximum,</w:t>
      </w:r>
      <w:r>
        <w:t xml:space="preserve"> </w:t>
      </w:r>
      <w:r>
        <w:t xml:space="preserve">homogènes en nature. Le détail de ces contraintes figure en annexe A.</w:t>
      </w:r>
    </w:p>
    <w:p>
      <w:pPr>
        <w:pStyle w:val="BodyText"/>
      </w:pPr>
      <w:r>
        <w:t xml:space="preserve">La dernière règle a une conséquence pratique : un même fichier ne pouvant mélanger couples et</w:t>
      </w:r>
      <w:r>
        <w:t xml:space="preserve"> </w:t>
      </w:r>
      <w:r>
        <w:t xml:space="preserve">personnes physiques, il faut trier par nature avant de découper, ce qui explique que l’import</w:t>
      </w:r>
      <w:r>
        <w:t xml:space="preserve"> </w:t>
      </w:r>
      <w:r>
        <w:t xml:space="preserve">des couples se soit fait en cinq lots successifs.</w:t>
      </w:r>
    </w:p>
    <w:p>
      <w:pPr>
        <w:pStyle w:val="BodyText"/>
      </w:pPr>
      <w:r>
        <w:t xml:space="preserve">Ces contraintes sont consignées dans la note de procédure remise à l’équipe, avec la marche à</w:t>
      </w:r>
      <w:r>
        <w:t xml:space="preserve"> </w:t>
      </w:r>
      <w:r>
        <w:t xml:space="preserve">suivre pour rejouer l’import s’il devait être différé — point qui n’est pas anecdotique,</w:t>
      </w:r>
      <w:r>
        <w:t xml:space="preserve"> </w:t>
      </w:r>
      <w:r>
        <w:t xml:space="preserve">puisque d’autres tiers peuvent être créés dans SPO entre la préparation du fichier et</w:t>
      </w:r>
      <w:r>
        <w:t xml:space="preserve"> </w:t>
      </w:r>
      <w:r>
        <w:t xml:space="preserve">l’injection. La procédure prévoit alors de redemander une extraction actualisée, de remplacer</w:t>
      </w:r>
      <w:r>
        <w:t xml:space="preserve"> </w:t>
      </w:r>
      <w:r>
        <w:t xml:space="preserve">la feuille de référence et de recalculer : les tiers devenus existants sortent automatiquement</w:t>
      </w:r>
      <w:r>
        <w:t xml:space="preserve"> </w:t>
      </w:r>
      <w:r>
        <w:t xml:space="preserve">du périmètre. Le fichier reste ainsi utilisable dans le temps, ce qui était l’un de mes</w:t>
      </w:r>
      <w:r>
        <w:t xml:space="preserve"> </w:t>
      </w:r>
      <w:r>
        <w:t xml:space="preserve">objectifs de conception.</w:t>
      </w:r>
    </w:p>
    <w:bookmarkEnd w:id="61"/>
    <w:bookmarkStart w:id="62" w:name="Xbcf0721a2fd042b3991778598dd74225cd6534f"/>
    <w:p>
      <w:pPr>
        <w:pStyle w:val="Heading4"/>
      </w:pPr>
      <w:r>
        <w:t xml:space="preserve">1.3.4.2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1.3.2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 [3].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identifiants. Les figures suivantes sont à renuméroter</w:t>
      </w:r>
      <w:r>
        <w:t xml:space="preserve"> </w:t>
      </w:r>
      <w:r>
        <w:t xml:space="preserve">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62"/>
    <w:bookmarkEnd w:id="63"/>
    <w:bookmarkStart w:id="64" w:name="X743e9e8b4641d249535407cbe173e083d55b539"/>
    <w:p>
      <w:pPr>
        <w:pStyle w:val="Heading3"/>
      </w:pPr>
      <w:r>
        <w:t xml:space="preserve">1.3.5 Traitement des cas particuliers et arbitrages</w:t>
      </w:r>
    </w:p>
    <w:p>
      <w:pPr>
        <w:pStyle w:val="FirstParagraph"/>
      </w:pPr>
      <w:r>
        <w:t xml:space="preserve">Une chaîne pilotée par formules ne traite pas tout. Neuf tiers ont demandé une intervention</w:t>
      </w:r>
      <w:r>
        <w:t xml:space="preserve"> </w:t>
      </w:r>
      <w:r>
        <w:t xml:space="preserve">manuelle, répartis en quatre familles : trois adresses hors de France, que SPO refusait de</w:t>
      </w:r>
      <w:r>
        <w:t xml:space="preserve"> </w:t>
      </w:r>
      <w:r>
        <w:t xml:space="preserve">créer avec un pays étranger et qui ont donc été créées en France puis rectifiées dans l’ERP ;</w:t>
      </w:r>
      <w:r>
        <w:t xml:space="preserve"> </w:t>
      </w:r>
      <w:r>
        <w:t xml:space="preserve">trois tiers dont la nature était mal renseignée dans Vadimm, corrigée dans la feuille pivot</w:t>
      </w:r>
      <w:r>
        <w:t xml:space="preserve"> </w:t>
      </w:r>
      <w:r>
        <w:t xml:space="preserve">avant génération puisque la nature commande à la fois la clé d’unicité et la feuille de</w:t>
      </w:r>
      <w:r>
        <w:t xml:space="preserve"> </w:t>
      </w:r>
      <w:r>
        <w:t xml:space="preserve">sortie ; un tiers relevant d’une opération de dation, déjà présent dans SPO et retiré du</w:t>
      </w:r>
      <w:r>
        <w:t xml:space="preserve"> </w:t>
      </w:r>
      <w:r>
        <w:t xml:space="preserve">fichier ; et deux doublons portant deux adresses divergentes. L’annexe B donne le détail de</w:t>
      </w:r>
      <w:r>
        <w:t xml:space="preserve"> </w:t>
      </w:r>
      <w:r>
        <w:t xml:space="preserve">chaque cas et de l’arbitrage retenu.</w:t>
      </w:r>
    </w:p>
    <w:p>
      <w:pPr>
        <w:pStyle w:val="BodyText"/>
      </w:pPr>
      <w:r>
        <w:t xml:space="preserve">Ce dernier cas est le seul qui ait demandé un arbitrage véritable. Une même personne y</w:t>
      </w:r>
      <w:r>
        <w:t xml:space="preserve"> </w:t>
      </w:r>
      <w:r>
        <w:t xml:space="preserve">apparaissait deux fois avec deux adresses différentes, sans qu’il soit possible de déterminer</w:t>
      </w:r>
      <w:r>
        <w:t xml:space="preserve"> </w:t>
      </w:r>
      <w:r>
        <w:t xml:space="preserve">automatiquement laquelle retenir : la déduplication savait dire qu’il s’agissait de la même</w:t>
      </w:r>
      <w:r>
        <w:t xml:space="preserve"> </w:t>
      </w:r>
      <w:r>
        <w:t xml:space="preserve">personne, elle ne pouvait pas dire où cette personne habite aujourd’hui. Après vérification</w:t>
      </w:r>
      <w:r>
        <w:t xml:space="preserve"> </w:t>
      </w:r>
      <w:r>
        <w:t xml:space="preserve">des dates dans Vadimm, nous avons conservé l’adresse rattachée à la vente la plus récente.</w:t>
      </w:r>
    </w:p>
    <w:p>
      <w:pPr>
        <w:pStyle w:val="BodyText"/>
      </w:pPr>
      <w:r>
        <w:t xml:space="preserve">Ces neuf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 ; elles</w:t>
      </w:r>
      <w:r>
        <w:t xml:space="preserve"> </w:t>
      </w:r>
      <w:r>
        <w:t xml:space="preserve">ne savent pas décider laquelle de deux adresses également plausibles est la bonne. La valeur</w:t>
      </w:r>
      <w:r>
        <w:t xml:space="preserve"> </w:t>
      </w:r>
      <w:r>
        <w:t xml:space="preserve">du fichier de travail n’est pas d’avoir supprimé la décision humaine, mais de l’avoir</w:t>
      </w:r>
      <w:r>
        <w:t xml:space="preserve"> </w:t>
      </w:r>
      <w:r>
        <w:t xml:space="preserve">concentrée sur une poignée de cas identifiés au lieu de la diluer sur 1 602 lignes. J’ai tenu</w:t>
      </w:r>
      <w:r>
        <w:t xml:space="preserve"> </w:t>
      </w:r>
      <w:r>
        <w:t xml:space="preserve">à documenter chacun de ces arbitrages dans la note de procédure, pour que la trace en subsiste</w:t>
      </w:r>
      <w:r>
        <w:t xml:space="preserve"> </w:t>
      </w:r>
      <w:r>
        <w:t xml:space="preserve">indépendamment de moi.</w:t>
      </w:r>
    </w:p>
    <w:bookmarkEnd w:id="64"/>
    <w:bookmarkStart w:id="68" w:name="X456fd8e6f45575d4ba8758ce3c88b742be63010"/>
    <w:p>
      <w:pPr>
        <w:pStyle w:val="Heading3"/>
      </w:pPr>
      <w:r>
        <w:t xml:space="preserve">1.3.6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40"/>
        <w:gridCol w:w="96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 dans SPO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(couples et sociétés)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 Client 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1.8.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66" name="Picture"/>
            <a:graphic>
              <a:graphicData uri="http://schemas.openxmlformats.org/drawingml/2006/picture">
                <pic:pic>
                  <pic:nvPicPr>
                    <pic:cNvPr descr="figures/fig_1_8_repartition_nature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1.8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des points de vigilance qui valent bien au-delà du</w:t>
      </w:r>
      <w:r>
        <w:t xml:space="preserve"> </w:t>
      </w:r>
      <w:r>
        <w:t xml:space="preserve">cas de cet import.</w:t>
      </w:r>
    </w:p>
    <w:p>
      <w:pPr>
        <w:pStyle w:val="BodyText"/>
      </w:pPr>
      <w:r>
        <w:t xml:space="preserve">Quatre manipulations cassent le fichier sans produire le moindre message d’erreur : modifier</w:t>
      </w:r>
      <w:r>
        <w:t xml:space="preserve"> </w:t>
      </w:r>
      <w:r>
        <w:t xml:space="preserve">une feuille de sortie, dont le contenu est régénéré à chaque recalcul ; modifier les colonnes</w:t>
      </w:r>
      <w:r>
        <w:t xml:space="preserve"> </w:t>
      </w:r>
      <w:r>
        <w:t xml:space="preserve">calculées de la feuille pivot, qui portent la logique de rang et de numérotation ; insérer une</w:t>
      </w:r>
      <w:r>
        <w:t xml:space="preserve"> </w:t>
      </w:r>
      <w:r>
        <w:t xml:space="preserve">ligne au milieu d’une feuille, ce qui décale toutes les références ; et trier la feuille</w:t>
      </w:r>
      <w:r>
        <w:t xml:space="preserve"> </w:t>
      </w:r>
      <w:r>
        <w:t xml:space="preserve">pivot, dont la logique de rang est cumulative sur l’ordre des lignes. La note de procédure les</w:t>
      </w:r>
      <w:r>
        <w:t xml:space="preserve"> </w:t>
      </w:r>
      <w:r>
        <w:t xml:space="preserve">énonce avant même d’expliquer comment se servir du fichier.</w:t>
      </w:r>
    </w:p>
    <w:p>
      <w:pPr>
        <w:pStyle w:val="BodyText"/>
      </w:pPr>
      <w:r>
        <w:t xml:space="preserve">Les pièges de formule rencontrés relèvent tous du même défaut, et c’est l’enseignement</w:t>
      </w:r>
      <w:r>
        <w:t xml:space="preserve"> </w:t>
      </w:r>
      <w:r>
        <w:t xml:space="preserve">principal que j’en tire : dans une chaîne pilotée par formules, l’erreur ne se manifeste</w:t>
      </w:r>
      <w:r>
        <w:t xml:space="preserve"> </w:t>
      </w:r>
      <w:r>
        <w:t xml:space="preserve">presque jamais par un message d’erreur, mais par un compteur qui ne tombe pas juste. Chaîne</w:t>
      </w:r>
      <w:r>
        <w:t xml:space="preserve"> </w:t>
      </w:r>
      <w:r>
        <w:t xml:space="preserve">vide comptée comme une valeur, code de mois interprété comme des minutes, heures parasites</w:t>
      </w:r>
      <w:r>
        <w:t xml:space="preserve"> </w:t>
      </w:r>
      <w:r>
        <w:t xml:space="preserve">rendant différentes deux dates identiques à l’affichage, cellule vide confondue avec chaîne</w:t>
      </w:r>
      <w:r>
        <w:t xml:space="preserve"> </w:t>
      </w:r>
      <w:r>
        <w:t xml:space="preserve">vide : chacun a produit des compteurs surévalués, des clés de déduplication fausses ou des</w:t>
      </w:r>
      <w:r>
        <w:t xml:space="preserve"> </w:t>
      </w:r>
      <w:r>
        <w:t xml:space="preserve">faux positifs, et aucun n’a signalé quoi que ce soit. Le détail de ces quatre pièges et de</w:t>
      </w:r>
      <w:r>
        <w:t xml:space="preserve"> </w:t>
      </w:r>
      <w:r>
        <w:t xml:space="preserve">leur correction figure en annexe C.</w:t>
      </w:r>
    </w:p>
    <w:p>
      <w:pPr>
        <w:pStyle w:val="BodyText"/>
      </w:pPr>
      <w:r>
        <w:t xml:space="preserve">C’est pourquoi j’ai ajouté à la feuille pivot un panneau de contrôle affichant en permanence</w:t>
      </w:r>
      <w:r>
        <w:t xml:space="preserve"> </w:t>
      </w:r>
      <w:r>
        <w:t xml:space="preserve">les compteurs clés, que la procédure impose de vérifier avant tout export : c’est le seul</w:t>
      </w:r>
      <w:r>
        <w:t xml:space="preserve"> </w:t>
      </w:r>
      <w:r>
        <w:t xml:space="preserve">dispositif de détection dont je disposais. Un dernier point relève de la performance : avec</w:t>
      </w:r>
      <w:r>
        <w:t xml:space="preserve"> </w:t>
      </w:r>
      <w:r>
        <w:t xml:space="preserve">environ 60 000 cellules de formules, le recalcul automatique devient pénible, et la procédure</w:t>
      </w:r>
      <w:r>
        <w:t xml:space="preserve"> </w:t>
      </w:r>
      <w:r>
        <w:t xml:space="preserve">recommande de travailler en calcul manuel puis de forcer un recalcul complet avant chaque</w:t>
      </w:r>
      <w:r>
        <w:t xml:space="preserve"> </w:t>
      </w:r>
      <w:r>
        <w:t xml:space="preserve">export.</w:t>
      </w:r>
      <w:r>
        <w:t xml:space="preserve"> </w:t>
      </w:r>
      <w:r>
        <w:t xml:space="preserve">## Ce que ces deux reprises ont en commun</w:t>
      </w:r>
    </w:p>
    <w:p>
      <w:pPr>
        <w:pStyle w:val="BodyText"/>
      </w:pPr>
      <w:r>
        <w:t xml:space="preserve">Les deux chantiers ont été conduits selon la même méthode, que je n’avais pas choisie a</w:t>
      </w:r>
      <w:r>
        <w:t xml:space="preserve"> </w:t>
      </w:r>
      <w:r>
        <w:t xml:space="preserve">priori : elle s’est imposée parce que le modèle cible était inconnu. On ne peut pas spécifier</w:t>
      </w:r>
      <w:r>
        <w:t xml:space="preserve"> </w:t>
      </w:r>
      <w:r>
        <w:t xml:space="preserve">complètement une reprise dont on ignore les règles d’acceptation. On avance donc par paliers</w:t>
      </w:r>
      <w:r>
        <w:t xml:space="preserve"> </w:t>
      </w:r>
      <w:r>
        <w:t xml:space="preserve">de volume croissant, en traitant chaque rejet comme une information sur le modèle cible plutôt</w:t>
      </w:r>
      <w:r>
        <w:t xml:space="preserve"> </w:t>
      </w:r>
      <w:r>
        <w:t xml:space="preserve">que comme une erreur à corriger — d’où la progression 3, puis 12 opérations avant la masse, et</w:t>
      </w:r>
      <w:r>
        <w:t xml:space="preserve"> </w:t>
      </w:r>
      <w:r>
        <w:t xml:space="preserve">les lots de 200 lignes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la</w:t>
      </w:r>
      <w:r>
        <w:t xml:space="preserve"> </w:t>
      </w:r>
      <w:r>
        <w:t xml:space="preserve">totalité du périmètre. Elle a aussi une limite : elle est lente à démarrer et produit peu de</w:t>
      </w:r>
      <w:r>
        <w:t xml:space="preserve"> </w:t>
      </w:r>
      <w:r>
        <w:t xml:space="preserve">livrable visible pendant les premières semaines, le résultat étant alors une documentation</w:t>
      </w:r>
      <w:r>
        <w:t xml:space="preserve"> </w:t>
      </w:r>
      <w:r>
        <w:t xml:space="preserve">interne et non des données dans le système.</w:t>
      </w:r>
    </w:p>
    <w:p>
      <w:pPr>
        <w:pStyle w:val="BodyText"/>
      </w:pPr>
      <w:r>
        <w:t xml:space="preserve">Les difficultés techniques rencontrées se ramènent presque toutes à une même situation : un</w:t>
      </w:r>
      <w:r>
        <w:t xml:space="preserve"> </w:t>
      </w:r>
      <w:r>
        <w:t xml:space="preserve">système imposait une règle qui n’était écrite nulle part. L’ordre d’injection des objets en</w:t>
      </w:r>
      <w:r>
        <w:t xml:space="preserve"> </w:t>
      </w:r>
      <w:r>
        <w:t xml:space="preserve">est le cas le plus net, reconstitué par l’analyse des codes d’erreur ; le versionnement des</w:t>
      </w:r>
      <w:r>
        <w:t xml:space="preserve"> </w:t>
      </w:r>
      <w:r>
        <w:t xml:space="preserve">budgets en est le second, qui a imposé une logique de requêtage dynamique. Le refus des</w:t>
      </w:r>
      <w:r>
        <w:t xml:space="preserve"> </w:t>
      </w:r>
      <w:r>
        <w:t xml:space="preserve">caractères accentués par le format d’import et l’impossibilité de porter les coordonnées des</w:t>
      </w:r>
      <w:r>
        <w:t xml:space="preserve"> </w:t>
      </w:r>
      <w:r>
        <w:t xml:space="preserve">couples en CSV relèvent de la même famille, la solution ayant consisté dans le second cas à</w:t>
      </w:r>
      <w:r>
        <w:t xml:space="preserve"> </w:t>
      </w:r>
      <w:r>
        <w:t xml:space="preserve">changer de porte d’entrée vers le système.</w:t>
      </w:r>
    </w:p>
    <w:p>
      <w:pPr>
        <w:pStyle w:val="BodyText"/>
      </w:pPr>
      <w:r>
        <w:t xml:space="preserve">Le régime de preuve de ces deux missions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 </w:t>
      </w:r>
      <w:r>
        <w:t xml:space="preserve">: la question posée</w:t>
      </w:r>
      <w:r>
        <w:t xml:space="preserve"> </w:t>
      </w:r>
      <w:r>
        <w:t xml:space="preserve">n’est pas si un modèle est performant, mais si ce qui est arrivé correspond à ce qui est</w:t>
      </w:r>
      <w:r>
        <w:t xml:space="preserve"> </w:t>
      </w:r>
      <w:r>
        <w:t xml:space="preserve">parti. Elle a pris la forme de la validation par paliers sur la migration, et d’un panneau de</w:t>
      </w:r>
      <w:r>
        <w:t xml:space="preserve"> </w:t>
      </w:r>
      <w:r>
        <w:t xml:space="preserve">compteurs à vérifier avant tout export sur la reprise des tiers. Ce régime a un angle mort</w:t>
      </w:r>
      <w:r>
        <w:t xml:space="preserve"> </w:t>
      </w:r>
      <w:r>
        <w:t xml:space="preserve">qu’il faut nommer : il prouve qu’une donnée est arrivée, pas qu’elle est juste.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 tomberaient juste.</w:t>
      </w:r>
    </w:p>
    <w:p>
      <w:pPr>
        <w:pStyle w:val="BodyText"/>
      </w:pPr>
      <w:r>
        <w:t xml:space="preserve">Le référentiel commercial du groupe est ainsi reconstitué selon des règles écrites et</w:t>
      </w:r>
      <w:r>
        <w:t xml:space="preserve"> </w:t>
      </w:r>
      <w:r>
        <w:t xml:space="preserve">rejouables, plutôt que par une saisie dont la logique aurait été introuvable six mois plus</w:t>
      </w:r>
      <w:r>
        <w:t xml:space="preserve"> </w:t>
      </w:r>
      <w:r>
        <w:t xml:space="preserve">tard. Le chantier n’est pas clos pour autant : la reprise des historiques budgétaires reste</w:t>
      </w:r>
      <w:r>
        <w:t xml:space="preserve"> </w:t>
      </w:r>
      <w:r>
        <w:t xml:space="preserve">devant nous, et le fichier devra être rejoué avant la bascule définitive. Pendant que ce socle</w:t>
      </w:r>
      <w:r>
        <w:t xml:space="preserve"> </w:t>
      </w:r>
      <w:r>
        <w:t xml:space="preserve">se reconstruisait, les services ont continué d’avoir besoin de leurs indicateurs, et c’est</w:t>
      </w:r>
      <w:r>
        <w:t xml:space="preserve"> </w:t>
      </w:r>
      <w:r>
        <w:t xml:space="preserve">l’objet du chapitre suivant.</w:t>
      </w:r>
    </w:p>
    <w:bookmarkEnd w:id="68"/>
    <w:bookmarkEnd w:id="69"/>
    <w:bookmarkEnd w:id="70"/>
    <w:bookmarkStart w:id="79" w:name="reporting-et-missions-si-transverses"/>
    <w:p>
      <w:pPr>
        <w:pStyle w:val="Heading1"/>
      </w:pPr>
      <w:r>
        <w:t xml:space="preserve">2 Reporting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Le maintien opérationnel du reporting</w:t>
      </w:r>
    </w:p>
    <w:p>
      <w:pPr>
        <w:numPr>
          <w:ilvl w:val="1"/>
          <w:numId w:val="1009"/>
        </w:numPr>
        <w:pStyle w:val="Compact"/>
      </w:pPr>
      <w:r>
        <w:t xml:space="preserve">2.1.1 Une complexité métier : la règle de facturation juridique</w:t>
      </w:r>
    </w:p>
    <w:p>
      <w:pPr>
        <w:numPr>
          <w:ilvl w:val="1"/>
          <w:numId w:val="1009"/>
        </w:numPr>
        <w:pStyle w:val="Compact"/>
      </w:pPr>
      <w:r>
        <w:t xml:space="preserve">2.1.2 Contraintes techniques et modélisation dynamique</w:t>
      </w:r>
    </w:p>
    <w:p>
      <w:pPr>
        <w:numPr>
          <w:ilvl w:val="0"/>
          <w:numId w:val="1008"/>
        </w:numPr>
        <w:pStyle w:val="Compact"/>
      </w:pPr>
      <w:r>
        <w:t xml:space="preserve">2.2 Le déploiement du Single Sign-On</w:t>
      </w:r>
    </w:p>
    <w:p>
      <w:pPr>
        <w:numPr>
          <w:ilvl w:val="0"/>
          <w:numId w:val="1008"/>
        </w:numPr>
        <w:pStyle w:val="Compact"/>
      </w:pPr>
      <w:r>
        <w:t xml:space="preserve">2.3 Ce que les missions filées coûtent et ce qu’elles rapportent</w:t>
      </w:r>
    </w:p>
    <w:p>
      <w:pPr>
        <w:pStyle w:val="FirstParagraph"/>
      </w:pPr>
      <w:r>
        <w:t xml:space="preserve">Pendant que les deux reprises du chapitre précédent se déroulaient, j’ai maintenu mes</w:t>
      </w:r>
      <w:r>
        <w:t xml:space="preserve"> </w:t>
      </w:r>
      <w:r>
        <w:t xml:space="preserve">activités de gestionnaire d’information : les demandes de reporting des services, initiées en</w:t>
      </w:r>
      <w:r>
        <w:t xml:space="preserve"> </w:t>
      </w:r>
      <w:r>
        <w:t xml:space="preserve">Master 1, et une contribution à l’infrastructure système. Ces missions ont couru sur les deux</w:t>
      </w:r>
      <w:r>
        <w:t xml:space="preserve"> </w:t>
      </w:r>
      <w:r>
        <w:t xml:space="preserve">semestres. Elles méritent d’être exposées pour une raison de fond, et pas par souci</w:t>
      </w:r>
      <w:r>
        <w:t xml:space="preserve"> </w:t>
      </w:r>
      <w:r>
        <w:t xml:space="preserve">d’exhaustivité : c’est en les menant que j’ai rencontré, sous une forme miniature, le problème</w:t>
      </w:r>
      <w:r>
        <w:t xml:space="preserve"> </w:t>
      </w:r>
      <w:r>
        <w:t xml:space="preserve">qui commande le projet de Data Science du chapitre 3 — lorsqu’une règle de gestion n’a nulle</w:t>
      </w:r>
      <w:r>
        <w:t xml:space="preserve"> </w:t>
      </w:r>
      <w:r>
        <w:t xml:space="preserve">part où être écrite, elle finit par être recalculée partout, différemment.</w:t>
      </w:r>
    </w:p>
    <w:bookmarkStart w:id="76" w:name="le-maintien-opérationnel-du-reporting"/>
    <w:p>
      <w:pPr>
        <w:pStyle w:val="Heading2"/>
      </w:pPr>
      <w:r>
        <w:t xml:space="preserve">2.1 Le maintien opérationnel du reporting</w:t>
      </w:r>
    </w:p>
    <w:p>
      <w:pPr>
        <w:pStyle w:val="FirstParagraph"/>
      </w:pPr>
      <w:r>
        <w:t xml:space="preserve">Dans la continuité de ma première année, j’ai conservé la charge des demandes de reporting des</w:t>
      </w:r>
      <w:r>
        <w:t xml:space="preserve"> </w:t>
      </w:r>
      <w:r>
        <w:t xml:space="preserve">différents services, qui consistent à traduire des besoins métier parfois abstraits en</w:t>
      </w:r>
      <w:r>
        <w:t xml:space="preserve"> </w:t>
      </w:r>
      <w:r>
        <w:t xml:space="preserve">indicateurs visuels fiables. Le travail commence rarement par une spécification : il commence</w:t>
      </w:r>
      <w:r>
        <w:t xml:space="preserve"> </w:t>
      </w:r>
      <w:r>
        <w:t xml:space="preserve">par une gêne exprimée en réunion, ou par un tableau que quelqu’un refait à la main tous les</w:t>
      </w:r>
      <w:r>
        <w:t xml:space="preserve"> </w:t>
      </w:r>
      <w:r>
        <w:t xml:space="preserve">mois. Reformuler la demande jusqu’à ce qu’elle soit calculable — de quelles lignes parle-t-on,</w:t>
      </w:r>
      <w:r>
        <w:t xml:space="preserve"> </w:t>
      </w:r>
      <w:r>
        <w:t xml:space="preserve">sur quelle période, que fait-on des cas limites ? — est la partie que je sous-estimais en</w:t>
      </w:r>
      <w:r>
        <w:t xml:space="preserve"> </w:t>
      </w:r>
      <w:r>
        <w:t xml:space="preserve">arrivant, et c’est celle qui décide de l’utilité du résultat.</w:t>
      </w:r>
    </w:p>
    <w:bookmarkStart w:id="71" w:name="Xa6478f91aee1754976dd60831999213f5b1f3f9"/>
    <w:p>
      <w:pPr>
        <w:pStyle w:val="Heading3"/>
      </w:pPr>
      <w:r>
        <w:t xml:space="preserve">2.1.1 Une complexité métier : la règle de facturation juridique</w:t>
      </w:r>
    </w:p>
    <w:p>
      <w:pPr>
        <w:pStyle w:val="FirstParagraph"/>
      </w:pPr>
      <w:r>
        <w:t xml:space="preserve">La demande du service juridique en donne l’exemple le plus significatif. Le besoin portait sur</w:t>
      </w:r>
      <w:r>
        <w:t xml:space="preserve"> </w:t>
      </w:r>
      <w:r>
        <w:t xml:space="preserve">le suivi des commandes clients, afin de déterminer avec précision ce qui doit être facturé. Sa</w:t>
      </w:r>
      <w:r>
        <w:t xml:space="preserve"> </w:t>
      </w:r>
      <w:r>
        <w:t xml:space="preserve">complexité ne réside pas dans la donnée brute mais dans une règle de gestion : une alternance</w:t>
      </w:r>
      <w:r>
        <w:t xml:space="preserve"> </w:t>
      </w:r>
      <w:r>
        <w:t xml:space="preserve">conditionnelle stricte où la première commande est payante, la deuxième gratuite, la troisième</w:t>
      </w:r>
      <w:r>
        <w:t xml:space="preserve"> </w:t>
      </w:r>
      <w:r>
        <w:t xml:space="preserve">payante, et ainsi de suite.</w:t>
      </w:r>
    </w:p>
    <w:p>
      <w:pPr>
        <w:pStyle w:val="BodyText"/>
      </w:pPr>
      <w:r>
        <w:t xml:space="preserve">La difficulté tient à ce que cette règle ne porte pas sur une ligne, mais sur la position</w:t>
      </w:r>
      <w:r>
        <w:t xml:space="preserve"> </w:t>
      </w:r>
      <w:r>
        <w:t xml:space="preserve">d’une ligne dans une séquence. Aucune colonne de la base ne contient l’information « c’est la</w:t>
      </w:r>
      <w:r>
        <w:t xml:space="preserve"> </w:t>
      </w:r>
      <w:r>
        <w:t xml:space="preserve">deuxième commande de ce client sur ce lot » : cette information n’existe que si on la calcule,</w:t>
      </w:r>
      <w:r>
        <w:t xml:space="preserve"> </w:t>
      </w:r>
      <w:r>
        <w:t xml:space="preserve">et elle change dès qu’une commande est ajoutée ou annulée.</w:t>
      </w:r>
    </w:p>
    <w:bookmarkEnd w:id="71"/>
    <w:bookmarkStart w:id="75" w:name="X42ce33e326bc7d5f05607c010e8140f1ed97c03"/>
    <w:p>
      <w:pPr>
        <w:pStyle w:val="Heading3"/>
      </w:pPr>
      <w:r>
        <w:t xml:space="preserve">2.1.2 Contraintes techniques et modélisation dynamique</w:t>
      </w:r>
    </w:p>
    <w:p>
      <w:pPr>
        <w:pStyle w:val="FirstParagraph"/>
      </w:pPr>
      <w:r>
        <w:t xml:space="preserve">Mon travail a consisté à trouver la manière la plus efficace d’implémenter cette logique avec</w:t>
      </w:r>
      <w:r>
        <w:t xml:space="preserve"> </w:t>
      </w:r>
      <w:r>
        <w:t xml:space="preserve">nos logiciels existants, sous deux contraintes fortes. Je ne possédais pas les droits</w:t>
      </w:r>
      <w:r>
        <w:t xml:space="preserve"> </w:t>
      </w:r>
      <w:r>
        <w:t xml:space="preserve">d’écriture nécessaires pour créer des champs de statut dans la base SQL, ce qui interdisait la</w:t>
      </w:r>
      <w:r>
        <w:t xml:space="preserve"> </w:t>
      </w:r>
      <w:r>
        <w:t xml:space="preserve">solution la plus simple, matérialiser le statut à l’enregistrement de la commande ; et je ne</w:t>
      </w:r>
      <w:r>
        <w:t xml:space="preserve"> </w:t>
      </w:r>
      <w:r>
        <w:t xml:space="preserve">pouvais pas ajouter de colonnes dans les fichiers Excel sources, car ces derniers étaient</w:t>
      </w:r>
      <w:r>
        <w:t xml:space="preserve"> </w:t>
      </w:r>
      <w:r>
        <w:t xml:space="preserve">écrasés à chaque mise à jour.</w:t>
      </w:r>
    </w:p>
    <w:p>
      <w:pPr>
        <w:pStyle w:val="BodyText"/>
      </w:pPr>
      <w:r>
        <w:t xml:space="preserve">Ces deux contraintes interdisaient toute solution consistant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</w:t>
      </w:r>
      <w:r>
        <w:t xml:space="preserve"> </w:t>
      </w:r>
      <w:r>
        <w:t xml:space="preserve">fallait donc un calcul dynamique, exécuté lors de la génération du tableau. Le système devait</w:t>
      </w:r>
      <w:r>
        <w:t xml:space="preserve"> </w:t>
      </w:r>
      <w:r>
        <w:t xml:space="preserve">d’abord identifier les opérations et les lots, puis classer leurs commandes par ordre</w:t>
      </w:r>
      <w:r>
        <w:t xml:space="preserve"> </w:t>
      </w:r>
      <w:r>
        <w:t xml:space="preserve">chronologique ; il attribuait ensuite un rang à chaque commande et appliquait une condition</w:t>
      </w:r>
      <w:r>
        <w:t xml:space="preserve"> </w:t>
      </w:r>
      <w:r>
        <w:t xml:space="preserve">logique, dont l’énoncé ne dépend d’aucune date : si le rang est impair, le statut est</w:t>
      </w:r>
      <w:r>
        <w:t xml:space="preserve"> </w:t>
      </w:r>
      <w:r>
        <w:t xml:space="preserve">« Payant » ; s’il est pair, il est « Gratuit ». La Figure 2.1 représente 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73" name="Picture"/>
            <a:graphic>
              <a:graphicData uri="http://schemas.openxmlformats.org/drawingml/2006/picture">
                <pic:pic>
                  <pic:nvPicPr>
                    <pic:cNvPr descr="figures/fig_2_1_regle_factura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répond au besoin sans altérer la structure des données sources, mais elle a un</w:t>
      </w:r>
      <w:r>
        <w:t xml:space="preserve"> </w:t>
      </w:r>
      <w:r>
        <w:t xml:space="preserve">coût qu’il faut assumer : la règle est recalculée à chaque affichage, et elle n’existe nulle</w:t>
      </w:r>
      <w:r>
        <w:t xml:space="preserve"> </w:t>
      </w:r>
      <w:r>
        <w:t xml:space="preserve">part ailleurs que dans la définition du tableau. Si un autre service a besoin de la même</w:t>
      </w:r>
      <w:r>
        <w:t xml:space="preserve"> </w:t>
      </w:r>
      <w:r>
        <w:t xml:space="preserve">notion, il devra la redemander, et rien ne garantit qu’elle sera implantée à l’identique.</w:t>
      </w:r>
      <w:r>
        <w:t xml:space="preserve"> </w:t>
      </w:r>
      <w:r>
        <w:t xml:space="preserve">C’est exactement le problème que le projet de Data Science résoudra au chapitre 3, en écrivant</w:t>
      </w:r>
      <w:r>
        <w:t xml:space="preserve"> </w:t>
      </w:r>
      <w:r>
        <w:t xml:space="preserve">les définitions partagées une seule fois dans des vues de base de données. La contrainte</w:t>
      </w:r>
      <w:r>
        <w:t xml:space="preserve"> </w:t>
      </w:r>
      <w:r>
        <w:t xml:space="preserve">rencontrée ici en miniature m’a rendue attentive à cette question bien avant de concevoir</w:t>
      </w:r>
      <w:r>
        <w:t xml:space="preserve"> </w:t>
      </w:r>
      <w:r>
        <w:t xml:space="preserve">l’architecture du Copilote Financier.</w:t>
      </w:r>
    </w:p>
    <w:bookmarkEnd w:id="75"/>
    <w:bookmarkEnd w:id="76"/>
    <w:bookmarkStart w:id="77" w:name="le-déploiement-du-single-sign-on"/>
    <w:p>
      <w:pPr>
        <w:pStyle w:val="Heading2"/>
      </w:pPr>
      <w:r>
        <w:t xml:space="preserve">2.2 Le déploiement du Single Sign-On</w:t>
      </w:r>
    </w:p>
    <w:p>
      <w:pPr>
        <w:pStyle w:val="FirstParagraph"/>
      </w:pPr>
      <w:r>
        <w:t xml:space="preserve">En parallèle, j’ai collaboré avec l’administratrice des systèmes et outils SI sur un projet</w:t>
      </w:r>
      <w:r>
        <w:t xml:space="preserve"> </w:t>
      </w:r>
      <w:r>
        <w:t xml:space="preserve">d’infrastructure transverse : le déploiement du SSO (</w:t>
      </w:r>
      <w:r>
        <w:rPr>
          <w:iCs/>
          <w:i/>
        </w:rPr>
        <w:t xml:space="preserve">Single Sign-On</w:t>
      </w:r>
      <w:r>
        <w:t xml:space="preserve">), technologie permettant</w:t>
      </w:r>
      <w:r>
        <w:t xml:space="preserve"> </w:t>
      </w:r>
      <w:r>
        <w:t xml:space="preserve">d’accéder à plusieurs applications avec une seule authentification. L’enjeu était double pour</w:t>
      </w:r>
      <w:r>
        <w:t xml:space="preserve"> </w:t>
      </w:r>
      <w:r>
        <w:t xml:space="preserve">le groupe : réduire le nombre de mots de passe à mémoriser et renforcer la sécurité des accès</w:t>
      </w:r>
      <w:r>
        <w:t xml:space="preserve"> </w:t>
      </w:r>
      <w:r>
        <w:t xml:space="preserve">aux outils sensibles. J’ai pris en charge le déploiement sur les postes de travail de deux</w:t>
      </w:r>
      <w:r>
        <w:t xml:space="preserve"> </w:t>
      </w:r>
      <w:r>
        <w:t xml:space="preserve">périmètres, l’agence de Perpignan et le service financier du siège : installation du</w:t>
      </w:r>
      <w:r>
        <w:t xml:space="preserve"> </w:t>
      </w:r>
      <w:r>
        <w:t xml:space="preserve">connecteur, vérification de la synchronisation avec l’annuaire d’entreprise, et accompagnement</w:t>
      </w:r>
      <w:r>
        <w:t xml:space="preserve"> </w:t>
      </w:r>
      <w:r>
        <w:t xml:space="preserve">des utilisateurs lors de leur première connexion. Nous avons volontairement commencé par ces</w:t>
      </w:r>
      <w:r>
        <w:t xml:space="preserve"> </w:t>
      </w:r>
      <w:r>
        <w:t xml:space="preserve">deux périmètres avant d’envisager une généralisation, afin de mesurer les difficultés réelles</w:t>
      </w:r>
      <w:r>
        <w:t xml:space="preserve"> </w:t>
      </w:r>
      <w:r>
        <w:t xml:space="preserve">sur un échantillon restreint.</w:t>
      </w:r>
    </w:p>
    <w:p>
      <w:pPr>
        <w:pStyle w:val="BodyText"/>
      </w:pPr>
      <w:r>
        <w:t xml:space="preserve">Cette mission m’a appris quelque chose que je n’attendais pas d’un déploiement. L’annuaire</w:t>
      </w:r>
      <w:r>
        <w:t xml:space="preserve"> </w:t>
      </w:r>
      <w:r>
        <w:t xml:space="preserve">d’entreprise sur lequel repose le SSO est un référentiel d’identités : il répond, pour les</w:t>
      </w:r>
      <w:r>
        <w:t xml:space="preserve"> </w:t>
      </w:r>
      <w:r>
        <w:t xml:space="preserve">collaborateurs, à la question que je me posais pour les clients au chapitre 1, à savoir comment</w:t>
      </w:r>
      <w:r>
        <w:t xml:space="preserve"> </w:t>
      </w:r>
      <w:r>
        <w:t xml:space="preserve">garantir qu’une personne n’existe qu’une fois et qu’on sait la reconnaître. Voir ce problème</w:t>
      </w:r>
      <w:r>
        <w:t xml:space="preserve"> </w:t>
      </w:r>
      <w:r>
        <w:t xml:space="preserve">résolu du côté de l’infrastructure, par un annuaire centralisé et une synchronisation</w:t>
      </w:r>
      <w:r>
        <w:t xml:space="preserve"> </w:t>
      </w:r>
      <w:r>
        <w:t xml:space="preserve">automatique, éclaire par contraste la situation côté données de gestion, où aucun référentiel</w:t>
      </w:r>
      <w:r>
        <w:t xml:space="preserve"> </w:t>
      </w:r>
      <w:r>
        <w:t xml:space="preserve">de ce type n’existait avant la reprise des tiers.</w:t>
      </w:r>
    </w:p>
    <w:p>
      <w:pPr>
        <w:pStyle w:val="BodyText"/>
      </w:pPr>
      <w:r>
        <w:t xml:space="preserve">L’accompagnement des utilisateurs a été instructif à sa manière : une solution techniquement</w:t>
      </w:r>
      <w:r>
        <w:t xml:space="preserve"> </w:t>
      </w:r>
      <w:r>
        <w:t xml:space="preserve">correcte qui déroute l’utilisateur au moment de s’en servir n’est pas une solution livrée. Ce</w:t>
      </w:r>
      <w:r>
        <w:t xml:space="preserve"> </w:t>
      </w:r>
      <w:r>
        <w:t xml:space="preserve">constat, fait ici sur une fenêtre d’authentification, s’est retrouvé mot pour mot au moment de</w:t>
      </w:r>
      <w:r>
        <w:t xml:space="preserve"> </w:t>
      </w:r>
      <w:r>
        <w:t xml:space="preserve">livrer l’application d’aide à la décision.</w:t>
      </w:r>
    </w:p>
    <w:bookmarkEnd w:id="77"/>
    <w:bookmarkStart w:id="78" w:name="X1c632cf57cfe9d1b3023b7e14056b1f78d19a59"/>
    <w:p>
      <w:pPr>
        <w:pStyle w:val="Heading2"/>
      </w:pPr>
      <w:r>
        <w:t xml:space="preserve">2.3 Ce que les missions filées coûtent et ce qu’elles rapportent</w:t>
      </w:r>
    </w:p>
    <w:p>
      <w:pPr>
        <w:pStyle w:val="FirstParagraph"/>
      </w:pPr>
      <w:r>
        <w:t xml:space="preserve">Il serait malhonnête de ne pas dire ce que ces missions transverses ont coûté : elles</w:t>
      </w:r>
      <w:r>
        <w:t xml:space="preserve"> </w:t>
      </w:r>
      <w:r>
        <w:t xml:space="preserve">fragmentent le temps, et un chantier de reprise interrompu trois fois dans la journée pour une</w:t>
      </w:r>
      <w:r>
        <w:t xml:space="preserve"> </w:t>
      </w:r>
      <w:r>
        <w:t xml:space="preserve">demande de tableau de bord avance moins vite qu’un chantier mené d’un trait, et surtout se</w:t>
      </w:r>
      <w:r>
        <w:t xml:space="preserve"> </w:t>
      </w:r>
      <w:r>
        <w:t xml:space="preserve">reprend plus mal, puisqu’il faut à chaque fois reconstituer où l’on en était dans une logique</w:t>
      </w:r>
      <w:r>
        <w:t xml:space="preserve"> </w:t>
      </w:r>
      <w:r>
        <w:t xml:space="preserve">de formules imbriquées. Cette fragmentation a été la difficulté la plus constante de l’année,</w:t>
      </w:r>
      <w:r>
        <w:t xml:space="preserve"> </w:t>
      </w:r>
      <w:r>
        <w:t xml:space="preserve">et ce que j’ai fini par mettre en place tient en peu de choses : réserver les plages longues</w:t>
      </w:r>
      <w:r>
        <w:t xml:space="preserve"> </w:t>
      </w:r>
      <w:r>
        <w:t xml:space="preserve">aux travaux qui ne se découpent pas, regrouper les demandes courtes, et surtout écrire</w:t>
      </w:r>
      <w:r>
        <w:t xml:space="preserve"> </w:t>
      </w:r>
      <w:r>
        <w:t xml:space="preserve">systématiquement où j’en étais avant d’interrompre une tâche.</w:t>
      </w:r>
    </w:p>
    <w:p>
      <w:pPr>
        <w:pStyle w:val="BodyText"/>
      </w:pPr>
      <w:r>
        <w:t xml:space="preserve">Ces missions rapportent cependant trois choses que je n’aurais pas obtenues autrement.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ne donne pas : on ne comprend</w:t>
      </w:r>
      <w:r>
        <w:t xml:space="preserve"> </w:t>
      </w:r>
      <w:r>
        <w:t xml:space="preserve">pas ce qu’est une commande gratuite en lisant une table, on le comprend en écoutant le service</w:t>
      </w:r>
      <w:r>
        <w:t xml:space="preserve"> </w:t>
      </w:r>
      <w:r>
        <w:t xml:space="preserve">juridique expliquer pourquoi la règle existe.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 : avoir</w:t>
      </w:r>
      <w:r>
        <w:t xml:space="preserve"> </w:t>
      </w:r>
      <w:r>
        <w:t xml:space="preserve">répondu à leurs demandes courantes pendant un an est ce qui a rendu possible, au second</w:t>
      </w:r>
      <w:r>
        <w:t xml:space="preserve"> </w:t>
      </w:r>
      <w:r>
        <w:t xml:space="preserve">semestre, un échange direct avec la direction financière.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</w:t>
      </w:r>
      <w:r>
        <w:t xml:space="preserve"> </w:t>
      </w:r>
      <w:r>
        <w:t xml:space="preserve">système d’information dans son ensemble, depuis l’authentification des postes jusqu’aux</w:t>
      </w:r>
      <w:r>
        <w:t xml:space="preserve"> </w:t>
      </w:r>
      <w:r>
        <w:t xml:space="preserve">tableaux de bord, qui m’a permis de concevoir le projet du second semestre comme une chaîne</w:t>
      </w:r>
      <w:r>
        <w:t xml:space="preserve"> </w:t>
      </w:r>
      <w:r>
        <w:t xml:space="preserve">complète plutôt que comme une suite de modèles.</w:t>
      </w:r>
    </w:p>
    <w:p>
      <w:pPr>
        <w:pStyle w:val="BodyText"/>
      </w:pPr>
      <w:r>
        <w:t xml:space="preserve">Le régime de preuve retenu ici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 </w:t>
      </w:r>
      <w:r>
        <w:t xml:space="preserve">: sur le reporting</w:t>
      </w:r>
      <w:r>
        <w:t xml:space="preserve"> </w:t>
      </w:r>
      <w:r>
        <w:t xml:space="preserve">juridique, seul le service demandeur pouvait juger de la conformité de la règle appliquée.</w:t>
      </w:r>
      <w:r>
        <w:t xml:space="preserve"> </w:t>
      </w:r>
      <w:r>
        <w:t xml:space="preserve">Cette validation a une limite qu’il faut nommer : elle ne dit rien, à court terme, de</w:t>
      </w:r>
      <w:r>
        <w:t xml:space="preserve"> </w:t>
      </w:r>
      <w:r>
        <w:t xml:space="preserve">l’utilité réelle de l’outil dans la durée.</w:t>
      </w:r>
    </w:p>
    <w:p>
      <w:pPr>
        <w:pStyle w:val="BodyText"/>
      </w:pPr>
      <w:r>
        <w:t xml:space="preserve">Ces solutions restent par ailleurs des contournements : une règle recalculée à chaque</w:t>
      </w:r>
      <w:r>
        <w:t xml:space="preserve"> </w:t>
      </w:r>
      <w:r>
        <w:t xml:space="preserve">affichage tient tant que personne d’autre n’en a besoin. Elles auront néanmoins maintenu le</w:t>
      </w:r>
      <w:r>
        <w:t xml:space="preserve"> </w:t>
      </w:r>
      <w:r>
        <w:t xml:space="preserve">système décisionnel en état de marche pendant les douze mois qu’a duré la reconstruction du</w:t>
      </w:r>
      <w:r>
        <w:t xml:space="preserve"> </w:t>
      </w:r>
      <w:r>
        <w:t xml:space="preserve">socle. Ce socle étant désormais fiable, le chapitre suivant expose ce qu’il devient possible</w:t>
      </w:r>
      <w:r>
        <w:t xml:space="preserve"> </w:t>
      </w:r>
      <w:r>
        <w:t xml:space="preserve">d’en faire.</w:t>
      </w:r>
    </w:p>
    <w:bookmarkEnd w:id="78"/>
    <w:bookmarkEnd w:id="79"/>
    <w:bookmarkStart w:id="126" w:name="le-copilote-financier"/>
    <w:p>
      <w:pPr>
        <w:pStyle w:val="Heading1"/>
      </w:pPr>
      <w:r>
        <w:t xml:space="preserve">3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0"/>
        </w:numPr>
        <w:pStyle w:val="Compact"/>
      </w:pPr>
      <w:r>
        <w:t xml:space="preserve">3.1 Contexte</w:t>
      </w:r>
    </w:p>
    <w:p>
      <w:pPr>
        <w:numPr>
          <w:ilvl w:val="1"/>
          <w:numId w:val="1011"/>
        </w:numPr>
        <w:pStyle w:val="Compact"/>
      </w:pPr>
      <w:r>
        <w:t xml:space="preserve">3.1.1 Problème métier</w:t>
      </w:r>
    </w:p>
    <w:p>
      <w:pPr>
        <w:numPr>
          <w:ilvl w:val="2"/>
          <w:numId w:val="1012"/>
        </w:numPr>
        <w:pStyle w:val="Compact"/>
      </w:pPr>
      <w:r>
        <w:t xml:space="preserve">3.1.1.1 Besoins par axe et exigences non fonctionnelles</w:t>
      </w:r>
    </w:p>
    <w:p>
      <w:pPr>
        <w:numPr>
          <w:ilvl w:val="1"/>
          <w:numId w:val="1011"/>
        </w:numPr>
        <w:pStyle w:val="Compact"/>
      </w:pPr>
      <w:r>
        <w:t xml:space="preserve">3.1.2 Objectifs du dashboard</w:t>
      </w:r>
    </w:p>
    <w:p>
      <w:pPr>
        <w:numPr>
          <w:ilvl w:val="0"/>
          <w:numId w:val="1010"/>
        </w:numPr>
        <w:pStyle w:val="Compact"/>
      </w:pPr>
      <w:r>
        <w:t xml:space="preserve">3.2 Données disponibles</w:t>
      </w:r>
    </w:p>
    <w:p>
      <w:pPr>
        <w:numPr>
          <w:ilvl w:val="1"/>
          <w:numId w:val="1013"/>
        </w:numPr>
        <w:pStyle w:val="Compact"/>
      </w:pPr>
      <w:r>
        <w:t xml:space="preserve">3.2.1 Données internes</w:t>
      </w:r>
    </w:p>
    <w:p>
      <w:pPr>
        <w:numPr>
          <w:ilvl w:val="1"/>
          <w:numId w:val="1013"/>
        </w:numPr>
        <w:pStyle w:val="Compact"/>
      </w:pPr>
      <w:r>
        <w:t xml:space="preserve">3.2.2 Données externes</w:t>
      </w:r>
    </w:p>
    <w:p>
      <w:pPr>
        <w:numPr>
          <w:ilvl w:val="0"/>
          <w:numId w:val="1010"/>
        </w:numPr>
        <w:pStyle w:val="Compact"/>
      </w:pPr>
      <w:r>
        <w:t xml:space="preserve">3.3 Architecture technique</w:t>
      </w:r>
    </w:p>
    <w:p>
      <w:pPr>
        <w:numPr>
          <w:ilvl w:val="0"/>
          <w:numId w:val="1010"/>
        </w:numPr>
        <w:pStyle w:val="Compact"/>
      </w:pPr>
      <w:r>
        <w:t xml:space="preserve">3.4 Notebooks et résultats</w:t>
      </w:r>
    </w:p>
    <w:p>
      <w:pPr>
        <w:numPr>
          <w:ilvl w:val="1"/>
          <w:numId w:val="1014"/>
        </w:numPr>
        <w:pStyle w:val="Compact"/>
      </w:pPr>
      <w:r>
        <w:t xml:space="preserve">3.4.1 Exploration et nettoyage des données brutes</w:t>
      </w:r>
    </w:p>
    <w:p>
      <w:pPr>
        <w:numPr>
          <w:ilvl w:val="1"/>
          <w:numId w:val="1014"/>
        </w:numPr>
        <w:pStyle w:val="Compact"/>
      </w:pPr>
      <w:r>
        <w:t xml:space="preserve">3.4.2 SQL et Spark</w:t>
      </w:r>
    </w:p>
    <w:p>
      <w:pPr>
        <w:numPr>
          <w:ilvl w:val="1"/>
          <w:numId w:val="1014"/>
        </w:numPr>
        <w:pStyle w:val="Compact"/>
      </w:pPr>
      <w:r>
        <w:t xml:space="preserve">3.4.3 Axe A : risque de dérive de marge</w:t>
      </w:r>
    </w:p>
    <w:p>
      <w:pPr>
        <w:numPr>
          <w:ilvl w:val="1"/>
          <w:numId w:val="1014"/>
        </w:numPr>
        <w:pStyle w:val="Compact"/>
      </w:pPr>
      <w:r>
        <w:t xml:space="preserve">3.4.4 Axe B : vitesse d’écoulement</w:t>
      </w:r>
    </w:p>
    <w:p>
      <w:pPr>
        <w:numPr>
          <w:ilvl w:val="1"/>
          <w:numId w:val="1014"/>
        </w:numPr>
        <w:pStyle w:val="Compact"/>
      </w:pPr>
      <w:r>
        <w:t xml:space="preserve">3.4.5 Axe C : prix du stock</w:t>
      </w:r>
    </w:p>
    <w:p>
      <w:pPr>
        <w:numPr>
          <w:ilvl w:val="1"/>
          <w:numId w:val="1014"/>
        </w:numPr>
        <w:pStyle w:val="Compact"/>
      </w:pPr>
      <w:r>
        <w:t xml:space="preserve">3.4.6 Signaux faibles (texte et réseau)</w:t>
      </w:r>
    </w:p>
    <w:p>
      <w:pPr>
        <w:numPr>
          <w:ilvl w:val="0"/>
          <w:numId w:val="1010"/>
        </w:numPr>
        <w:pStyle w:val="Compact"/>
      </w:pPr>
      <w:r>
        <w:t xml:space="preserve">3.5 Plateforme Streamlit</w:t>
      </w:r>
    </w:p>
    <w:p>
      <w:pPr>
        <w:numPr>
          <w:ilvl w:val="0"/>
          <w:numId w:val="1010"/>
        </w:numPr>
        <w:pStyle w:val="Compact"/>
      </w:pPr>
      <w:r>
        <w:t xml:space="preserve">3.6 Périmètre et limites</w:t>
      </w:r>
    </w:p>
    <w:p>
      <w:pPr>
        <w:numPr>
          <w:ilvl w:val="0"/>
          <w:numId w:val="1010"/>
        </w:numPr>
        <w:pStyle w:val="Compact"/>
      </w:pPr>
      <w:r>
        <w:t xml:space="preserve">3.7 Méthode, évaluation et limites du projet</w:t>
      </w:r>
    </w:p>
    <w:p>
      <w:pPr>
        <w:numPr>
          <w:ilvl w:val="0"/>
          <w:numId w:val="1010"/>
        </w:numPr>
        <w:pStyle w:val="Compact"/>
      </w:pPr>
      <w:r>
        <w:t xml:space="preserve">3.8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 Copilote Financier 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 de</w:t>
      </w:r>
      <w:r>
        <w:t xml:space="preserve"> </w:t>
      </w:r>
      <w:r>
        <w:t xml:space="preserve">la rentabilité des opérations d’aménagement, a été redéfini en cours de projet : la prédiction</w:t>
      </w:r>
      <w:r>
        <w:t xml:space="preserve"> </w:t>
      </w:r>
      <w:r>
        <w:t xml:space="preserve">de la marge à terminaison subsiste comme premier axe de travail, mais le besoin exprimé par la</w:t>
      </w:r>
      <w:r>
        <w:t xml:space="preserve"> </w:t>
      </w:r>
      <w:r>
        <w:t xml:space="preserve">direction financière l’a élargie à deux autres questions, et la restitution a finalement été</w:t>
      </w:r>
      <w:r>
        <w:t xml:space="preserve"> </w:t>
      </w:r>
      <w:r>
        <w:t xml:space="preserve">restreinte à la promotion immobilière. J’y expose d’abord le besoin métier tel qu’il m’a été</w:t>
      </w:r>
      <w:r>
        <w:t xml:space="preserve"> </w:t>
      </w:r>
      <w:r>
        <w:t xml:space="preserve">formulé, puis les données dont je disposais réellement, l’architecture retenue pour les rendre</w:t>
      </w:r>
      <w:r>
        <w:t xml:space="preserve"> </w:t>
      </w:r>
      <w:r>
        <w:t xml:space="preserve">exploitables, les trois axes d’analyse et leurs résultats, la plateforme qui les restitue aux</w:t>
      </w:r>
      <w:r>
        <w:t xml:space="preserve"> </w:t>
      </w:r>
      <w:r>
        <w:t xml:space="preserve">contrôleurs de gestion, et enfin les limites que je considère comme faisant partie du livrable.</w:t>
      </w:r>
    </w:p>
    <w:p>
      <w:pPr>
        <w:pStyle w:val="BodyText"/>
      </w:pPr>
      <w:r>
        <w:t xml:space="preserve">Une décision a orienté tout le projet : la taille des données disponibles, 267 opérations et</w:t>
      </w:r>
      <w:r>
        <w:t xml:space="preserve"> </w:t>
      </w:r>
      <w:r>
        <w:t xml:space="preserve">quatre exports totalisant 32 Mo, ne justifie pas un empilement de modèles. J’ai donc retenu un</w:t>
      </w:r>
      <w:r>
        <w:t xml:space="preserve"> </w:t>
      </w:r>
      <w:r>
        <w:t xml:space="preserve">petit nombre de méthodes simples, chacune choisie pour une question précise et validée</w:t>
      </w:r>
      <w:r>
        <w:t xml:space="preserve"> </w:t>
      </w:r>
      <w:r>
        <w:t xml:space="preserve">sérieusement, plutôt qu’un catalogue d’algorithmes dont aucun n’aurait pu être correctement</w:t>
      </w:r>
      <w:r>
        <w:t xml:space="preserve"> </w:t>
      </w:r>
      <w:r>
        <w:t xml:space="preserve">évalué à cette échelle.</w:t>
      </w:r>
    </w:p>
    <w:bookmarkStart w:id="83" w:name="contexte"/>
    <w:p>
      <w:pPr>
        <w:pStyle w:val="Heading2"/>
      </w:pPr>
      <w:r>
        <w:t xml:space="preserve">3.1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 opération par opération, sur tableurs, sans vision</w:t>
      </w:r>
      <w:r>
        <w:t xml:space="preserve"> </w:t>
      </w:r>
      <w:r>
        <w:t xml:space="preserve">transverse. Personne ne dispose d’une vue d’ensemble permettant de dire, à un instant donné,</w:t>
      </w:r>
      <w:r>
        <w:t xml:space="preserve"> </w:t>
      </w:r>
      <w:r>
        <w:t xml:space="preserve">quelles opérations méritent l’attention en priorité. C’est ce manque qui a motivé le projet.</w:t>
      </w:r>
    </w:p>
    <w:bookmarkStart w:id="81" w:name="problème-métier"/>
    <w:p>
      <w:pPr>
        <w:pStyle w:val="Heading3"/>
      </w:pPr>
      <w:r>
        <w:t xml:space="preserve">3.1.1 Problème métier</w:t>
      </w:r>
    </w:p>
    <w:p>
      <w:pPr>
        <w:pStyle w:val="FirstParagraph"/>
      </w:pPr>
      <w:r>
        <w:t xml:space="preserve">Trois questions structurent les revues de gestion, et les tableurs actuels n’y répondent pas.</w:t>
      </w:r>
    </w:p>
    <w:p>
      <w:pPr>
        <w:pStyle w:val="BodyText"/>
      </w:pPr>
      <w:r>
        <w:t xml:space="preserve">La première porte sur la</w:t>
      </w:r>
      <w:r>
        <w:t xml:space="preserve"> </w:t>
      </w:r>
      <w:r>
        <w:rPr>
          <w:bCs/>
          <w:b/>
        </w:rPr>
        <w:t xml:space="preserve">marge</w:t>
      </w:r>
      <w:r>
        <w:t xml:space="preserve"> </w:t>
      </w:r>
      <w:r>
        <w:t xml:space="preserve">: quelles opérations examiner en priorité parce que leur</w:t>
      </w:r>
      <w:r>
        <w:t xml:space="preserve"> </w:t>
      </w:r>
      <w:r>
        <w:t xml:space="preserve">marge d’engagement dérive, sur quels postes et pour combien d’euros ? Y répondre suppose de</w:t>
      </w:r>
      <w:r>
        <w:t xml:space="preserve"> </w:t>
      </w:r>
      <w:r>
        <w:t xml:space="preserve">comparer des dizaines d’opérations entre elles, ce qu’aucun tableur individuel ne permet.</w:t>
      </w:r>
    </w:p>
    <w:p>
      <w:pPr>
        <w:pStyle w:val="BodyText"/>
      </w:pPr>
      <w:r>
        <w:t xml:space="preserve">La deuxième porte sur le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: quel volume de réservations budgéter pour 2026 ?</w:t>
      </w:r>
      <w:r>
        <w:t xml:space="preserve"> </w:t>
      </w:r>
      <w:r>
        <w:t xml:space="preserve">La période récente a montré la sensibilité de la demande au coût du crédit, le taux moyen des</w:t>
      </w:r>
      <w:r>
        <w:t xml:space="preserve"> </w:t>
      </w:r>
      <w:r>
        <w:t xml:space="preserve">crédits habitat étant passé d’environ 1,1 % à un pic de 3,6 % fin 2023 avant de refluer vers</w:t>
      </w:r>
      <w:r>
        <w:t xml:space="preserve"> </w:t>
      </w:r>
      <w:r>
        <w:t xml:space="preserve">3,1 % mi-2026, tandis que le rythme du groupe tombait d’environ 150 à moins de 115</w:t>
      </w:r>
      <w:r>
        <w:t xml:space="preserve"> </w:t>
      </w:r>
      <w:r>
        <w:t xml:space="preserve">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</w:t>
      </w:r>
      <w: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: quels lots du stock faut-il réviser, à la hausse ou à la</w:t>
      </w:r>
      <w:r>
        <w:t xml:space="preserve"> </w:t>
      </w:r>
      <w:r>
        <w:t xml:space="preserve">baisse ? La question n’est pas théorique, puisque 45 % des 2 157 désistements enregistrés ont</w:t>
      </w:r>
      <w:r>
        <w:t xml:space="preserve"> </w:t>
      </w:r>
      <w:r>
        <w:t xml:space="preserve">pour motif un problème de financement ou un refus de prêt, et que les remises sont aujourd’hui</w:t>
      </w:r>
      <w:r>
        <w:t xml:space="preserve"> </w:t>
      </w:r>
      <w:r>
        <w:t xml:space="preserve">accordées au cas par cas.</w:t>
      </w:r>
    </w:p>
    <w:p>
      <w:pPr>
        <w:pStyle w:val="BodyText"/>
      </w:pPr>
      <w:r>
        <w:t xml:space="preserve">Ces trois questions ont un point commun. Face à des besoins de ce type, la tentation serait de</w:t>
      </w:r>
      <w:r>
        <w:t xml:space="preserve"> </w:t>
      </w:r>
      <w:r>
        <w:t xml:space="preserve">partir sur un projet d’apprentissage automatique de grande ampleur ; c’est pourtant un problème</w:t>
      </w:r>
      <w:r>
        <w:t xml:space="preserve"> </w:t>
      </w:r>
      <w:r>
        <w:t xml:space="preserve">de contrôle de gestion outillé par la donnée, et rien d’autre, le matériau disponible se</w:t>
      </w:r>
      <w:r>
        <w:t xml:space="preserve"> </w:t>
      </w:r>
      <w:r>
        <w:t xml:space="preserve">résumant à 267 opérations et quatre exports Excel, soit une photographie à date.</w:t>
      </w:r>
    </w:p>
    <w:bookmarkStart w:id="80" w:name="Xcacbc28e4963aea1e7cfa59f0a47a06bee732ec"/>
    <w:p>
      <w:pPr>
        <w:pStyle w:val="Heading4"/>
      </w:pPr>
      <w:r>
        <w:t xml:space="preserve">3.1.1.1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</w:t>
      </w:r>
      <w:r>
        <w:t xml:space="preserve"> </w:t>
      </w:r>
      <w:r>
        <w:t xml:space="preserve">doit se reconstruire depuis les exports bruts par un seul script, sans étape manuelle</w:t>
      </w:r>
      <w:r>
        <w:t xml:space="preserve"> </w:t>
      </w:r>
      <w:r>
        <w:t xml:space="preserve">intermédiaire. 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</w:t>
      </w:r>
      <w:r>
        <w:t xml:space="preserve"> </w:t>
      </w:r>
      <w:r>
        <w:t xml:space="preserve">qui le 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 dont</w:t>
      </w:r>
      <w:r>
        <w:t xml:space="preserve"> </w:t>
      </w:r>
      <w:r>
        <w:t xml:space="preserve">on ne saurait pas mesurer la performance réelle.</w:t>
      </w:r>
    </w:p>
    <w:bookmarkEnd w:id="80"/>
    <w:bookmarkEnd w:id="81"/>
    <w:bookmarkStart w:id="82" w:name="objectifs-du-dashboard"/>
    <w:p>
      <w:pPr>
        <w:pStyle w:val="Heading3"/>
      </w:pPr>
      <w:r>
        <w:t xml:space="preserve">3.1.2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82"/>
    <w:bookmarkEnd w:id="83"/>
    <w:bookmarkStart w:id="86" w:name="données-disponibles"/>
    <w:p>
      <w:pPr>
        <w:pStyle w:val="Heading2"/>
      </w:pPr>
      <w:r>
        <w:t xml:space="preserve">3.2 Données disponibles</w:t>
      </w:r>
    </w:p>
    <w:bookmarkStart w:id="84" w:name="données-internes"/>
    <w:p>
      <w:pPr>
        <w:pStyle w:val="Heading3"/>
      </w:pPr>
      <w:r>
        <w:t xml:space="preserve">3.2.1 Données internes</w:t>
      </w:r>
    </w:p>
    <w:p>
      <w:pPr>
        <w:pStyle w:val="FirstParagraph"/>
      </w:pPr>
      <w:r>
        <w:t xml:space="preserve">Quatre exports du système de gestion constituent le point de départ du projet. Leur</w:t>
      </w:r>
      <w:r>
        <w:t xml:space="preserve"> </w:t>
      </w:r>
      <w:r>
        <w:t xml:space="preserve">périmètre de 267 opérations ne recouvre pas exactement les 283 opérations reprises au</w:t>
      </w:r>
      <w:r>
        <w:t xml:space="preserve"> </w:t>
      </w:r>
      <w:r>
        <w:t xml:space="preserve">chapitre 1 : ce sont deux extractions distinctes, faites à des dates différentes, et les</w:t>
      </w:r>
      <w:r>
        <w:t xml:space="preserve"> </w:t>
      </w:r>
      <w:r>
        <w:t xml:space="preserve">exports de gestion ne portent que les opérations disposant d’un budget analytique au moment</w:t>
      </w:r>
      <w:r>
        <w:t xml:space="preserve"> </w:t>
      </w:r>
      <w:r>
        <w:t xml:space="preserve">de l’extraction.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97"/>
        <w:gridCol w:w="1569"/>
        <w:gridCol w:w="1926"/>
        <w:gridCol w:w="2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 et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Deux intitulés sont abrégés dans ce tableau : l’export de la grille de prix</w:t>
      </w:r>
      <w:r>
        <w:t xml:space="preserve"> </w:t>
      </w:r>
      <w:r>
        <w:t xml:space="preserve">s’appelle « Grille de Prix Avec Désistements » dans le système de gestion, et le fichier de</w:t>
      </w:r>
      <w:r>
        <w:t xml:space="preserve"> </w:t>
      </w:r>
      <w:r>
        <w:t xml:space="preserve">contrôle « A_DM_BUDGET_MONTANT_GESTION_LIVE », désigné ci-après comme le fichier LIVE.</w:t>
      </w:r>
    </w:p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 06_Informations Lots ». Malgré son nom, il ne contient</w:t>
      </w:r>
      <w:r>
        <w:t xml:space="preserve"> </w:t>
      </w:r>
      <w:r>
        <w:t xml:space="preserve">pas les lots : il ne porte que des dossiers désistés, 2 157 au motif « Désisté » et 7 au</w:t>
      </w:r>
      <w:r>
        <w:t xml:space="preserve"> </w:t>
      </w:r>
      <w:r>
        <w:t xml:space="preserve">motif « Résolution de vente 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 Budget &amp; EFR 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 appt »,</w:t>
      </w:r>
      <w:r>
        <w:t xml:space="preserve"> </w:t>
      </w:r>
      <w:r>
        <w:t xml:space="preserve">« Appartement » ou « stat 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84"/>
    <w:bookmarkStart w:id="85" w:name="données-externes"/>
    <w:p>
      <w:pPr>
        <w:pStyle w:val="Heading3"/>
      </w:pPr>
      <w:r>
        <w:t xml:space="preserve">3.2.2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 [4], de 2015 à 2026.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 [5], sur la même période.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[6] 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85"/>
    <w:bookmarkEnd w:id="86"/>
    <w:bookmarkStart w:id="87" w:name="architecture-technique"/>
    <w:p>
      <w:pPr>
        <w:pStyle w:val="Heading2"/>
      </w:pPr>
      <w:r>
        <w:t xml:space="preserve">3.3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87"/>
    <w:bookmarkStart w:id="115" w:name="notebooks-et-résultats"/>
    <w:p>
      <w:pPr>
        <w:pStyle w:val="Heading2"/>
      </w:pPr>
      <w:r>
        <w:t xml:space="preserve">3.4 Notebooks et résultats</w:t>
      </w:r>
    </w:p>
    <w:bookmarkStart w:id="94" w:name="X602394daec039ef4331b05e21f2ad099f555b11"/>
    <w:p>
      <w:pPr>
        <w:pStyle w:val="Heading3"/>
      </w:pPr>
      <w:r>
        <w:t xml:space="preserve">3.4.1 Exploration et nettoyage des données brutes</w:t>
      </w:r>
    </w:p>
    <w:p>
      <w:pPr>
        <w:pStyle w:val="FirstParagraph"/>
      </w:pPr>
      <w:r>
        <w:t xml:space="preserve">Au-delà du nettoyage décrit en section 3.2,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3.1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89" name="Picture"/>
            <a:graphic>
              <a:graphicData uri="http://schemas.openxmlformats.org/drawingml/2006/picture">
                <pic:pic>
                  <pic:nvPicPr>
                    <pic:cNvPr descr="figures/fig_3_1_prix_m2_log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 total</w:t>
      </w:r>
      <w:r>
        <w:t xml:space="preserve"> </w:t>
      </w:r>
      <w:r>
        <w:t xml:space="preserve">de réservations même lorsque la demande par programme s’effondre. Rapportées au nombre</w:t>
      </w:r>
      <w:r>
        <w:t xml:space="preserve"> </w:t>
      </w:r>
      <w:r>
        <w:t xml:space="preserve">d’opérations actives, les réservations racontent l’inverse. La Figure 3.2 donne cette série</w:t>
      </w:r>
      <w:r>
        <w:t xml:space="preserve"> </w:t>
      </w:r>
      <w:r>
        <w:t xml:space="preserve">d’intensité corrigée ; sa corrélation avec le taux d’intérêt passe à -0,34 et celle avec la</w:t>
      </w:r>
      <w:r>
        <w:t xml:space="preserve"> </w:t>
      </w:r>
      <w:r>
        <w:t xml:space="preserve">confiance des ménages à +0,44. Tout l’axe B repose sur cette correction. Sans elle, j’aurais</w:t>
      </w:r>
      <w:r>
        <w:t xml:space="preserve"> </w:t>
      </w:r>
      <w:r>
        <w:t xml:space="preserve">conclu 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92" name="Picture"/>
            <a:graphic>
              <a:graphicData uri="http://schemas.openxmlformats.org/drawingml/2006/picture">
                <pic:pic>
                  <pic:nvPicPr>
                    <pic:cNvPr descr="figures/fig_3_2_intensite_vent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– Intensité de vente, mesurée en réservations par opération active : l’effet de la remontée des taux apparaît une fois l’effet de portefeuille neutralisé</w:t>
      </w:r>
    </w:p>
    <w:bookmarkEnd w:id="94"/>
    <w:bookmarkStart w:id="95" w:name="sql-et-spark"/>
    <w:p>
      <w:pPr>
        <w:pStyle w:val="Heading3"/>
      </w:pPr>
      <w:r>
        <w:t xml:space="preserve">3.4.2 SQL et Spark</w:t>
      </w:r>
    </w:p>
    <w:p>
      <w:pPr>
        <w:pStyle w:val="FirstParagraph"/>
      </w:pPr>
      <w:r>
        <w:t xml:space="preserve">Le véritable livrable de cette étape est la base SQL décrite en section 3.3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 groupe</w:t>
      </w:r>
      <w:r>
        <w:t xml:space="preserve"> </w:t>
      </w:r>
      <w:r>
        <w:t xml:space="preserve">dont le périmètre de données dépasse largement le sien. Le test aboutit à une conclusion</w:t>
      </w:r>
      <w:r>
        <w:t xml:space="preserve"> </w:t>
      </w:r>
      <w:r>
        <w:t xml:space="preserve">négative, et c’est en cela qu’il est utile. Sur notre volumétrie, 64 788 lignes représentant 9</w:t>
      </w:r>
      <w:r>
        <w:t xml:space="preserve"> </w:t>
      </w:r>
      <w:r>
        <w:t xml:space="preserve">Mo en mémoire, l’agrégation chronométrée est environ cinquante fois plus lente qu’avec pandas.</w:t>
      </w:r>
      <w:r>
        <w:t xml:space="preserve"> </w:t>
      </w:r>
      <w:r>
        <w:t xml:space="preserve">Le rapport 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 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95"/>
    <w:bookmarkStart w:id="99" w:name="axe-a-risque-de-dérive-de-marge"/>
    <w:p>
      <w:pPr>
        <w:pStyle w:val="Heading3"/>
      </w:pPr>
      <w:r>
        <w:t xml:space="preserve">3.4.3 Axe A : risque de dérive de marge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 Cette grandeur est appelée dans le projet la variation de marge</w:t>
      </w:r>
      <w:r>
        <w:t xml:space="preserve"> </w:t>
      </w:r>
      <w:r>
        <w:t xml:space="preserve">« committée », par emprunt à la notion comptable de coût engagé : elle ne mesure pas une</w:t>
      </w:r>
      <w:r>
        <w:t xml:space="preserve"> </w:t>
      </w:r>
      <w:r>
        <w:t xml:space="preserve">dérive anticipée, mais la part de dérive que les engagements déjà pris rendent acquise.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 prédit 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3.3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 committée » sur les 123 opérations du périmètre, et seuil de dérive matérielle à -2 %" title="" id="97" name="Picture"/>
            <a:graphic>
              <a:graphicData uri="http://schemas.openxmlformats.org/drawingml/2006/picture">
                <pic:pic>
                  <pic:nvPicPr>
                    <pic:cNvPr descr="figures/fig_3_3_distribution_variation_marg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– Distribution de la variation de marge « committée 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 Alertes marge 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 à risque 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99"/>
    <w:bookmarkStart w:id="106" w:name="axe-b-vitesse-découlement"/>
    <w:p>
      <w:pPr>
        <w:pStyle w:val="Heading3"/>
      </w:pPr>
      <w:r>
        <w:t xml:space="preserve">3.4.4 Axe B : vitesse d’écoulement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3.4,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01" name="Picture"/>
            <a:graphic>
              <a:graphicData uri="http://schemas.openxmlformats.org/drawingml/2006/picture">
                <pic:pic>
                  <pic:nvPicPr>
                    <pic:cNvPr descr="figures/fig_3_4_scenarios_taux_2026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3.5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04" name="Picture"/>
            <a:graphic>
              <a:graphicData uri="http://schemas.openxmlformats.org/drawingml/2006/picture">
                <pic:pic>
                  <pic:nvPicPr>
                    <pic:cNvPr descr="figures/fig_3_5_courbes_logistiqu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06"/>
    <w:bookmarkStart w:id="113" w:name="axe-c-prix-du-stock"/>
    <w:p>
      <w:pPr>
        <w:pStyle w:val="Heading3"/>
      </w:pPr>
      <w:r>
        <w:t xml:space="preserve">3.4.5 Axe C : prix du stock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3.6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08" name="Picture"/>
            <a:graphic>
              <a:graphicData uri="http://schemas.openxmlformats.org/drawingml/2006/picture">
                <pic:pic>
                  <pic:nvPicPr>
                    <pic:cNvPr descr="figures/fig_3_6_effet_millesim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3.7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11" name="Picture"/>
            <a:graphic>
              <a:graphicData uri="http://schemas.openxmlformats.org/drawingml/2006/picture">
                <pic:pic>
                  <pic:nvPicPr>
                    <pic:cNvPr descr="figures/fig_3_7_stock_prix_march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13"/>
    <w:bookmarkStart w:id="114" w:name="signaux-faibles-texte-et-réseau"/>
    <w:p>
      <w:pPr>
        <w:pStyle w:val="Heading3"/>
      </w:pPr>
      <w:r>
        <w:t xml:space="preserve">3.4.6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 refus de prêt banque » ou</w:t>
      </w:r>
      <w:r>
        <w:t xml:space="preserve"> </w:t>
      </w:r>
      <w:r>
        <w:t xml:space="preserve">« remise prix hors pack 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 Autres motifs 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14"/>
    <w:bookmarkEnd w:id="115"/>
    <w:bookmarkStart w:id="122" w:name="plateforme-streamlit"/>
    <w:p>
      <w:pPr>
        <w:pStyle w:val="Heading2"/>
      </w:pPr>
      <w:r>
        <w:t xml:space="preserve">3.5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3.8, donne la situation en quelques secondes :</w:t>
      </w:r>
      <w:r>
        <w:t xml:space="preserve"> </w:t>
      </w:r>
      <w:r>
        <w:t xml:space="preserve">147 opérations suivies, dont 10 en alerte et 2 à surveiller parmi les 68 opérations en cours</w:t>
      </w:r>
      <w:r>
        <w:t xml:space="preserve"> </w:t>
      </w:r>
      <w:r>
        <w:t xml:space="preserve">suffisamment engagées, les 56 autres étant conformes, 421 lots principaux en stock, un rythme</w:t>
      </w:r>
      <w:r>
        <w:t xml:space="preserve"> </w:t>
      </w:r>
      <w:r>
        <w:t xml:space="preserve">récent 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Vue d’ensemble »" title="" id="117" name="Picture"/>
            <a:graphic>
              <a:graphicData uri="http://schemas.openxmlformats.org/drawingml/2006/picture">
                <pic:pic>
                  <pic:nvPicPr>
                    <pic:cNvPr descr="figures/fig_3_8_plateforme_vue_ensembl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3.8 – Plateforme, page « Vue d’ensemble 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3.9,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Alertes marge » : niveaux d’alerte et dépassements engagés en euros" title="" id="120" name="Picture"/>
            <a:graphic>
              <a:graphicData uri="http://schemas.openxmlformats.org/drawingml/2006/picture">
                <pic:pic>
                  <pic:nvPicPr>
                    <pic:cNvPr descr="figures/fig_3_9_plateforme_alertes_marge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3.9 – Plateforme, page « Alertes marge 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22"/>
    <w:bookmarkStart w:id="123" w:name="périmètre-et-limites"/>
    <w:p>
      <w:pPr>
        <w:pStyle w:val="Heading2"/>
      </w:pPr>
      <w:r>
        <w:t xml:space="preserve">3.6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17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17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17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17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23"/>
    <w:bookmarkStart w:id="124" w:name="méthode-évaluation-et-limites-du-projet"/>
    <w:p>
      <w:pPr>
        <w:pStyle w:val="Heading2"/>
      </w:pPr>
      <w:r>
        <w:t xml:space="preserve">3.7 Méthode, évaluation et limites du projet</w:t>
      </w:r>
    </w:p>
    <w:p>
      <w:pPr>
        <w:pStyle w:val="FirstParagraph"/>
      </w:pPr>
      <w:r>
        <w:t xml:space="preserve">Ce projet a suivi une logique différente de celle des reprises du chapitre 1, en trois temps</w:t>
      </w:r>
      <w:r>
        <w:t xml:space="preserve"> </w:t>
      </w:r>
      <w:r>
        <w:t xml:space="preserve">séparés. Le</w:t>
      </w:r>
      <w:r>
        <w:t xml:space="preserve"> </w:t>
      </w:r>
      <w:r>
        <w:rPr>
          <w:bCs/>
          <w:b/>
        </w:rPr>
        <w:t xml:space="preserve">cadrage</w:t>
      </w:r>
      <w:r>
        <w:t xml:space="preserve"> </w:t>
      </w:r>
      <w:r>
        <w:t xml:space="preserve">formule les questions de gestion avant de regarder les données et pose</w:t>
      </w:r>
      <w:r>
        <w:t xml:space="preserve"> </w:t>
      </w:r>
      <w:r>
        <w:t xml:space="preserve">les exigences non fonctionnelles. L’</w:t>
      </w:r>
      <w:r>
        <w:rPr>
          <w:bCs/>
          <w:b/>
        </w:rPr>
        <w:t xml:space="preserve">exploration et la modélisation</w:t>
      </w:r>
      <w:r>
        <w:t xml:space="preserve"> </w:t>
      </w:r>
      <w:r>
        <w:t xml:space="preserve">viennent ensuite, chaque</w:t>
      </w:r>
      <w:r>
        <w:t xml:space="preserve"> </w:t>
      </w:r>
      <w:r>
        <w:t xml:space="preserve">question étant traitée par la méthode la plus simple qui y réponde. La</w:t>
      </w:r>
      <w:r>
        <w:t xml:space="preserve"> </w:t>
      </w:r>
      <w:r>
        <w:rPr>
          <w:bCs/>
          <w:b/>
        </w:rPr>
        <w:t xml:space="preserve">restitution</w:t>
      </w:r>
      <w:r>
        <w:t xml:space="preserve"> </w:t>
      </w:r>
      <w:r>
        <w:t xml:space="preserve">traduit</w:t>
      </w:r>
      <w:r>
        <w:t xml:space="preserve"> </w:t>
      </w:r>
      <w:r>
        <w:t xml:space="preserve">enfin les résultats dans le langage de l’utilisateur. Le point d’articulation le plus délicat</w:t>
      </w:r>
      <w:r>
        <w:t xml:space="preserve"> </w:t>
      </w:r>
      <w:r>
        <w:t xml:space="preserve">se situe entre les deux dernières étapes : la première version de l’interface, trop marquée</w:t>
      </w:r>
      <w:r>
        <w:t xml:space="preserve"> </w:t>
      </w:r>
      <w:r>
        <w:t xml:space="preserve">par le vocabulaire de la modélisation, a dû être entièrement réécrite, et cette réécriture a</w:t>
      </w:r>
      <w:r>
        <w:t xml:space="preserve"> </w:t>
      </w:r>
      <w:r>
        <w:t xml:space="preserve">changé ce que l’écran affiche, donc ce sur quoi l’utilisateur décide.</w:t>
      </w:r>
    </w:p>
    <w:p>
      <w:pPr>
        <w:pStyle w:val="BodyText"/>
      </w:pPr>
      <w:r>
        <w:t xml:space="preserve">Le régime de preuve applicable ici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, où la question</w:t>
      </w:r>
      <w:r>
        <w:t xml:space="preserve"> </w:t>
      </w:r>
      <w:r>
        <w:t xml:space="preserve">posée n’est pas si la donnée est bien arrivée mais si le résultat tient hors de l’échantillon</w:t>
      </w:r>
      <w:r>
        <w:t xml:space="preserve"> </w:t>
      </w:r>
      <w:r>
        <w:t xml:space="preserve">sur lequel il a été construit. J’y ai systématiquement associé un échantillon test distinct,</w:t>
      </w:r>
      <w:r>
        <w:t xml:space="preserve"> </w:t>
      </w:r>
      <w:r>
        <w:t xml:space="preserve">une comparaison à une référence naïve et un contrôle des fuites entre variables explicatives</w:t>
      </w:r>
      <w:r>
        <w:t xml:space="preserve"> </w:t>
      </w:r>
      <w:r>
        <w:t xml:space="preserve">et cible. La comparaison à la référence est celle qui m’a le plus servi : un score F1 de 0,3</w:t>
      </w:r>
      <w:r>
        <w:t xml:space="preserve"> </w:t>
      </w:r>
      <w:r>
        <w:t xml:space="preserve">ne veut rien dire dans l’absolu, mais il prend un sens précis lorsque la référence majoritaire</w:t>
      </w:r>
      <w:r>
        <w:t xml:space="preserve"> </w:t>
      </w:r>
      <w:r>
        <w:t xml:space="preserve">ne détecte rien. Ce régime a lui aussi un angle mort : il mesure une performance sur des</w:t>
      </w:r>
      <w:r>
        <w:t xml:space="preserve"> </w:t>
      </w:r>
      <w:r>
        <w:t xml:space="preserve">données passées, dans une conjoncture donnée, et rien ne garantit qu’un modèle calibré sur la</w:t>
      </w:r>
      <w:r>
        <w:t xml:space="preserve"> </w:t>
      </w:r>
      <w:r>
        <w:t xml:space="preserve">période récente tienne si le marché change de régime.</w:t>
      </w:r>
    </w:p>
    <w:p>
      <w:pPr>
        <w:pStyle w:val="BodyText"/>
      </w:pPr>
      <w:r>
        <w:t xml:space="preserve">Trois difficultés relèvent enfin de la donnée elle-même. L’</w:t>
      </w:r>
      <w:r>
        <w:rPr>
          <w:bCs/>
          <w:b/>
        </w:rPr>
        <w:t xml:space="preserve">absence d’historique</w:t>
      </w:r>
      <w:r>
        <w:t xml:space="preserve"> </w:t>
      </w:r>
      <w:r>
        <w:t xml:space="preserve">d’abord :</w:t>
      </w:r>
      <w:r>
        <w:t xml:space="preserve"> </w:t>
      </w:r>
      <w:r>
        <w:t xml:space="preserve">les exports budgétaires sont une photographie à date, sans trace des révisions successives, et</w:t>
      </w:r>
      <w:r>
        <w:t xml:space="preserve"> </w:t>
      </w:r>
      <w:r>
        <w:t xml:space="preserve">cette limite plafonne l’axe A. Aucune méthode ne la contourne, car on n’apprend pas la</w:t>
      </w:r>
      <w:r>
        <w:t xml:space="preserve"> </w:t>
      </w:r>
      <w:r>
        <w:t xml:space="preserve">dynamique d’une dérive sur une image fixe.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 </w:t>
      </w:r>
      <w:r>
        <w:t xml:space="preserve">ensuite, dont le cas le</w:t>
      </w:r>
      <w:r>
        <w:t xml:space="preserve"> </w:t>
      </w:r>
      <w:r>
        <w:t xml:space="preserve">plus parlant est celui d’une agence dont 90 % des motifs de désistement sont enregistrés en</w:t>
      </w:r>
      <w:r>
        <w:t xml:space="preserve"> </w:t>
      </w:r>
      <w:r>
        <w:t xml:space="preserve">« Autres motifs » : ce constat inattendu a produit une recommandation opérationnelle immédiate.</w:t>
      </w:r>
      <w:r>
        <w:t xml:space="preserve"> </w:t>
      </w:r>
      <w:r>
        <w:t xml:space="preserve">L’</w:t>
      </w:r>
      <w:r>
        <w:rPr>
          <w:bCs/>
          <w:b/>
        </w:rPr>
        <w:t xml:space="preserve">impossibilité d’estimer certains paramètres en interne</w:t>
      </w:r>
      <w:r>
        <w:t xml:space="preserve"> </w:t>
      </w:r>
      <w:r>
        <w:t xml:space="preserve">enfin : l’élasticité de la demande</w:t>
      </w:r>
      <w:r>
        <w:t xml:space="preserve"> </w:t>
      </w:r>
      <w:r>
        <w:t xml:space="preserve">au prix a le bon signe dans nos données mais n’y est pas significative, et la valeur retenue</w:t>
      </w:r>
      <w:r>
        <w:t xml:space="preserve"> </w:t>
      </w:r>
      <w:r>
        <w:t xml:space="preserve">vient de la littérature.</w:t>
      </w:r>
    </w:p>
    <w:bookmarkEnd w:id="124"/>
    <w:bookmarkStart w:id="125" w:name="conclusion-du-chapitre"/>
    <w:p>
      <w:pPr>
        <w:pStyle w:val="Heading2"/>
      </w:pPr>
      <w:r>
        <w:t xml:space="preserve">3.8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pPr>
        <w:pStyle w:val="BodyText"/>
      </w:pPr>
      <w:r>
        <w:t xml:space="preserve">Une succession de récits de mission ne fait pourtant pas un bilan. Comment ces projets</w:t>
      </w:r>
      <w:r>
        <w:t xml:space="preserve"> </w:t>
      </w:r>
      <w:r>
        <w:t xml:space="preserve">ont-ils été conduits, avec quelles méthodes, comment ai-je su que le résultat était bon, et</w:t>
      </w:r>
      <w:r>
        <w:t xml:space="preserve"> </w:t>
      </w:r>
      <w:r>
        <w:t xml:space="preserve">qu’est-ce qui n’a pas fonctionné ? Le chapitre suivant relit transversalement les quatre</w:t>
      </w:r>
      <w:r>
        <w:t xml:space="preserve"> </w:t>
      </w:r>
      <w:r>
        <w:t xml:space="preserve">missions sous ces angles.</w:t>
      </w:r>
    </w:p>
    <w:bookmarkEnd w:id="125"/>
    <w:bookmarkEnd w:id="126"/>
    <w:bookmarkStart w:id="132" w:name="X2a30457a2198163bc1d8952660d25dfbecf5740"/>
    <w:p>
      <w:pPr>
        <w:pStyle w:val="Heading1"/>
      </w:pPr>
      <w:r>
        <w:t xml:space="preserve">4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8"/>
        </w:numPr>
        <w:pStyle w:val="Compact"/>
      </w:pPr>
      <w:r>
        <w:t xml:space="preserve">4.1 Réflexion sur le métier</w:t>
      </w:r>
    </w:p>
    <w:p>
      <w:pPr>
        <w:numPr>
          <w:ilvl w:val="0"/>
          <w:numId w:val="1018"/>
        </w:numPr>
        <w:pStyle w:val="Compact"/>
      </w:pPr>
      <w:r>
        <w:t xml:space="preserve">4.2 Perspectives et projet professionnel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produite, puis le projet professionnel qui en découle.</w:t>
      </w:r>
    </w:p>
    <w:bookmarkStart w:id="130" w:name="réflexion-sur-le-métier"/>
    <w:p>
      <w:pPr>
        <w:pStyle w:val="Heading2"/>
      </w:pPr>
      <w:r>
        <w:t xml:space="preserve">4.1 Réflexion sur le métier</w:t>
      </w:r>
    </w:p>
    <w:p>
      <w:pPr>
        <w:pStyle w:val="FirstParagraph"/>
      </w:pPr>
      <w:r>
        <w:rPr>
          <w:bCs/>
          <w:b/>
        </w:rPr>
        <w:t xml:space="preserve">Un traducteur avant d’être un modélisateur.</w:t>
      </w:r>
      <w:r>
        <w:t xml:space="preserve"> </w:t>
      </w:r>
      <w:r>
        <w:t xml:space="preserve">L’image que j’avais de ce métier en entrant en</w:t>
      </w:r>
      <w:r>
        <w:t xml:space="preserve"> </w:t>
      </w:r>
      <w:r>
        <w:t xml:space="preserve">Master 2 était celle que donne le cursus : on reçoit un jeu de données et une question, on</w:t>
      </w:r>
      <w:r>
        <w:t xml:space="preserve"> </w:t>
      </w:r>
      <w:r>
        <w:t xml:space="preserve">choisit une méthode, on évalue, on livre un modèle. Cette image n’est pas fausse, elle est</w:t>
      </w:r>
      <w:r>
        <w:t xml:space="preserve"> </w:t>
      </w:r>
      <w:r>
        <w:t xml:space="preserve">simplement très minoritaire dans le temps réel. Sur les quatre missions de l’année, une seule</w:t>
      </w:r>
      <w:r>
        <w:t xml:space="preserve"> </w:t>
      </w:r>
      <w:r>
        <w:t xml:space="preserve">y correspond, et encore partiellement ; le poste que j’ai réellement occupé se rapproche de</w:t>
      </w:r>
      <w:r>
        <w:t xml:space="preserve"> </w:t>
      </w:r>
      <w:r>
        <w:t xml:space="preserve">celui de gestionnaire d’applications tel que le décrivent les référentiels métier [1]. Ce qui</w:t>
      </w:r>
      <w:r>
        <w:t xml:space="preserve"> </w:t>
      </w:r>
      <w:r>
        <w:t xml:space="preserve">a occupé le reste, c’est un travail de traduction dans les deux sens : traduire une gêne</w:t>
      </w:r>
      <w:r>
        <w:t xml:space="preserve"> </w:t>
      </w:r>
      <w:r>
        <w:t xml:space="preserve">exprimée par un service en question calculable, puis traduire un résultat statistique en</w:t>
      </w:r>
      <w:r>
        <w:t xml:space="preserve"> </w:t>
      </w:r>
      <w:r>
        <w:t xml:space="preserve">information sur laquelle quelqu’un peut décider.</w:t>
      </w:r>
    </w:p>
    <w:p>
      <w:pPr>
        <w:pStyle w:val="BodyText"/>
      </w:pPr>
      <w:r>
        <w:t xml:space="preserve">Cette traduction est le vrai travail, et elle est difficile pour une raison précise : les deux</w:t>
      </w:r>
      <w:r>
        <w:t xml:space="preserve"> </w:t>
      </w:r>
      <w:r>
        <w:t xml:space="preserve">langues n’ont pas les mêmes catégories. Le service juridique parle de commandes payantes et</w:t>
      </w:r>
      <w:r>
        <w:t xml:space="preserve"> </w:t>
      </w:r>
      <w:r>
        <w:t xml:space="preserve">gratuites ; la base ne connaît que des lignes sans position dans une séquence. La direction</w:t>
      </w:r>
      <w:r>
        <w:t xml:space="preserve"> </w:t>
      </w:r>
      <w:r>
        <w:t xml:space="preserve">financière parle d’opérations qui dérivent ; les exports ne contiennent qu’un budget et un</w:t>
      </w:r>
      <w:r>
        <w:t xml:space="preserve"> </w:t>
      </w:r>
      <w:r>
        <w:t xml:space="preserve">engagé à une date. Chaque fois, il a fallu construire la catégorie manquante, et ce sont ces</w:t>
      </w:r>
      <w:r>
        <w:t xml:space="preserve"> </w:t>
      </w:r>
      <w:r>
        <w:t xml:space="preserve">constructions qui engagent le plus, parce qu’elles décident de ce que l’entreprise pourra</w:t>
      </w:r>
      <w:r>
        <w:t xml:space="preserve"> </w:t>
      </w:r>
      <w:r>
        <w:t xml:space="preserve">observer ensuite.</w:t>
      </w:r>
    </w:p>
    <w:p>
      <w:pPr>
        <w:pStyle w:val="BodyText"/>
      </w:pPr>
      <w:r>
        <w:rPr>
          <w:bCs/>
          <w:b/>
        </w:rPr>
        <w:t xml:space="preserve">Les outils comptent moins que les méthodes.</w:t>
      </w:r>
      <w:r>
        <w:t xml:space="preserve"> </w:t>
      </w:r>
      <w:r>
        <w:t xml:space="preserve">Le tableau suivant récapitule les technologies</w:t>
      </w:r>
      <w:r>
        <w:t xml:space="preserve"> </w:t>
      </w:r>
      <w:r>
        <w:t xml:space="preserve">et les méthodes effectivement employées, en distinguant ce qui relève de l’outil de ce qui</w:t>
      </w:r>
      <w:r>
        <w:t xml:space="preserve"> </w:t>
      </w:r>
      <w:r>
        <w:t xml:space="preserve">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60 000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La colonne des outils est beaucoup moins intéressante que celle des méthodes, ce qui est</w:t>
      </w:r>
      <w:r>
        <w:t xml:space="preserve"> </w:t>
      </w:r>
      <w:r>
        <w:t xml:space="preserve">contre-intuitif quand on sort d’un cursus où l’on apprend des technologies. Excel figure dans</w:t>
      </w:r>
      <w:r>
        <w:t xml:space="preserve"> </w:t>
      </w:r>
      <w:r>
        <w:t xml:space="preserve">deux missions sur quatre, non qu’il soit le bon outil dans l’absolu, mais parce que c’est</w:t>
      </w:r>
      <w:r>
        <w:t xml:space="preserve"> </w:t>
      </w:r>
      <w:r>
        <w:t xml:space="preserve">celui que l’entreprise sait relire, corriger et maintenir sans moi. Un script Python aurait</w:t>
      </w:r>
      <w:r>
        <w:t xml:space="preserve"> </w:t>
      </w:r>
      <w:r>
        <w:t xml:space="preserve">produit les mêmes fichiers plus vite, et personne n’aurait pu le reprendre après mon départ.</w:t>
      </w:r>
    </w:p>
    <w:p>
      <w:pPr>
        <w:pStyle w:val="BodyText"/>
      </w:pPr>
      <w:r>
        <w:rPr>
          <w:bCs/>
          <w:b/>
        </w:rPr>
        <w:t xml:space="preserve">La place réelle de la modélisation.</w:t>
      </w:r>
      <w:r>
        <w:t xml:space="preserve"> </w:t>
      </w:r>
      <w:r>
        <w:t xml:space="preserve">Le constat suivant est plus inconfortable, et je le</w:t>
      </w:r>
      <w:r>
        <w:t xml:space="preserve"> </w:t>
      </w:r>
      <w:r>
        <w:t xml:space="preserve">formule d’autant plus volontiers qu’il va contre ce que j’espérais démontrer en commençant le</w:t>
      </w:r>
      <w:r>
        <w:t xml:space="preserve"> </w:t>
      </w:r>
      <w:r>
        <w:t xml:space="preserve">projet du second semestre. Dans le Copilote Financier, la page la plus consultée par les</w:t>
      </w:r>
      <w:r>
        <w:t xml:space="preserve"> </w:t>
      </w:r>
      <w:r>
        <w:t xml:space="preserve">contrôleurs de gestion ne repose sur aucun modèle appris : c’est un tableau descriptif de</w:t>
      </w:r>
      <w:r>
        <w:t xml:space="preserve"> </w:t>
      </w:r>
      <w:r>
        <w:t xml:space="preserve">dépassements en euros, calculé en SQL. La sophistication des méthodes décroît quand on se</w:t>
      </w:r>
      <w:r>
        <w:t xml:space="preserve"> </w:t>
      </w:r>
      <w:r>
        <w:t xml:space="preserve">rapproche de l’utilisateur, et ce n’est pas un échec de la modélisation, c’est sa place réelle</w:t>
      </w:r>
      <w:r>
        <w:t xml:space="preserve"> </w:t>
      </w:r>
      <w:r>
        <w:t xml:space="preserve">dans un outil de gestion.</w:t>
      </w:r>
    </w:p>
    <w:p>
      <w:pPr>
        <w:pStyle w:val="BodyText"/>
      </w:pPr>
      <w:r>
        <w:t xml:space="preserve">J’en tire deux choses plus précises. La première est que</w:t>
      </w:r>
      <w:r>
        <w:t xml:space="preserve"> </w:t>
      </w:r>
      <w:r>
        <w:rPr>
          <w:bCs/>
          <w:b/>
        </w:rPr>
        <w:t xml:space="preserve">la valeur d’un projet data ne se</w:t>
      </w:r>
      <w:r>
        <w:rPr>
          <w:bCs/>
          <w:b/>
        </w:rPr>
        <w:t xml:space="preserve"> </w:t>
      </w:r>
      <w:r>
        <w:rPr>
          <w:bCs/>
          <w:b/>
        </w:rPr>
        <w:t xml:space="preserve">mesure pas au degré de sophistication des méthodes employées</w:t>
      </w:r>
      <w:r>
        <w:t xml:space="preserve">, mais à l’écart entre ce que</w:t>
      </w:r>
      <w:r>
        <w:t xml:space="preserve"> </w:t>
      </w:r>
      <w:r>
        <w:t xml:space="preserve">l’entreprise savait avant et après. La seconde est que</w:t>
      </w:r>
      <w:r>
        <w:t xml:space="preserve"> </w:t>
      </w:r>
      <w:r>
        <w:rPr>
          <w:bCs/>
          <w:b/>
        </w:rPr>
        <w:t xml:space="preserve">le choix de la méthode se déduit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disponible, jamais de l’ambition du projet</w:t>
      </w:r>
      <w:r>
        <w:t xml:space="preserve"> </w:t>
      </w:r>
      <w:r>
        <w:t xml:space="preserve">: sur le rythme de vente, la profondeur</w:t>
      </w:r>
      <w:r>
        <w:t xml:space="preserve"> </w:t>
      </w:r>
      <w:r>
        <w:t xml:space="preserve">temporelle autorisait un modèle exigeant, et il a donné un résultat solide ; sur le risque de</w:t>
      </w:r>
      <w:r>
        <w:t xml:space="preserve"> </w:t>
      </w:r>
      <w:r>
        <w:t xml:space="preserve">marge, l’absence d’historique interdisait tout modèle dynamique, et aucune sophistication</w:t>
      </w:r>
      <w:r>
        <w:t xml:space="preserve"> </w:t>
      </w:r>
      <w:r>
        <w:t xml:space="preserve">n’aurait compensé cette absence.</w:t>
      </w:r>
    </w:p>
    <w:p>
      <w:pPr>
        <w:pStyle w:val="BodyText"/>
      </w:pPr>
      <w:r>
        <w:rPr>
          <w:bCs/>
          <w:b/>
        </w:rPr>
        <w:t xml:space="preserve">Le régime de preuve se déduit de la nature du livrable.</w:t>
      </w:r>
      <w:r>
        <w:t xml:space="preserve"> </w:t>
      </w:r>
      <w:r>
        <w:t xml:space="preserve">C’est l’enseignement transversal le</w:t>
      </w:r>
      <w:r>
        <w:t xml:space="preserve"> </w:t>
      </w:r>
      <w:r>
        <w:t xml:space="preserve">plus utile de l’année, et il n’apparaît que dans la comparaison entre les missions : une</w:t>
      </w:r>
      <w:r>
        <w:t xml:space="preserve"> </w:t>
      </w:r>
      <w:r>
        <w:t xml:space="preserve">reprise de données, un tableau de bord et un modèle statistique ne se prouvent pas de la même</w:t>
      </w:r>
      <w:r>
        <w:t xml:space="preserve"> </w:t>
      </w:r>
      <w:r>
        <w:t xml:space="preserve">manière. La Figure 4.1 représente les trois régimes que j’ai employés, chacun étant exposé au</w:t>
      </w:r>
      <w:r>
        <w:t xml:space="preserve"> </w:t>
      </w:r>
      <w:r>
        <w:t xml:space="preserve">chapitre où il s’applique — la réconciliation au chapitre 1, la recette par l’usage au</w:t>
      </w:r>
      <w:r>
        <w:t xml:space="preserve"> </w:t>
      </w:r>
      <w:r>
        <w:t xml:space="preserve">chapitre 2, la validation statistique au chapitre 3.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28" name="Picture"/>
            <a:graphic>
              <a:graphicData uri="http://schemas.openxmlformats.org/drawingml/2006/picture">
                <pic:pic>
                  <pic:nvPicPr>
                    <pic:cNvPr descr="figures/fig_4_1_regimes_de_preuv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– Les trois régimes de preuve employés selon la nature du livrable</w:t>
      </w:r>
    </w:p>
    <w:p>
      <w:pPr>
        <w:pStyle w:val="BodyText"/>
      </w:pPr>
      <w:r>
        <w:t xml:space="preserve">Appliquer à une reprise de données les critères d’un modèle statistique, ou l’inverse, revient</w:t>
      </w:r>
      <w:r>
        <w:t xml:space="preserve"> </w:t>
      </w:r>
      <w:r>
        <w:t xml:space="preserve">à ne rien prouver du tout. Un second enseignement transversal s’y ajoute : l’arbitrage entre</w:t>
      </w:r>
      <w:r>
        <w:t xml:space="preserve"> </w:t>
      </w:r>
      <w:r>
        <w:t xml:space="preserve">exhaustivité et continuité de service est revenu dans les quatre missions — les « coquilles</w:t>
      </w:r>
      <w:r>
        <w:t xml:space="preserve"> </w:t>
      </w:r>
      <w:r>
        <w:t xml:space="preserve">vides », le traitement manuel des cas particuliers, le calcul dynamique, le périmètre restreint</w:t>
      </w:r>
      <w:r>
        <w:t xml:space="preserve"> </w:t>
      </w:r>
      <w:r>
        <w:t xml:space="preserve">à la promotion. Dans les quatre cas, la décision a consisté à livrer quelque chose d’utile et</w:t>
      </w:r>
      <w:r>
        <w:t xml:space="preserve"> </w:t>
      </w:r>
      <w:r>
        <w:t xml:space="preserve">d’incomplet plutôt que rien de complet, et ce qui distingue cet arbitrage d’un renoncement 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 ; une dette implicite devient, quelques mois plus tard, une donnée que tout le monde</w:t>
      </w:r>
      <w:r>
        <w:t xml:space="preserve"> </w:t>
      </w:r>
      <w:r>
        <w:t xml:space="preserve">croit absente.</w:t>
      </w:r>
    </w:p>
    <w:p>
      <w:pPr>
        <w:pStyle w:val="BodyText"/>
      </w:pPr>
      <w:r>
        <w:rPr>
          <w:bCs/>
          <w:b/>
        </w:rPr>
        <w:t xml:space="preserve">Documenter est un acte technique.</w:t>
      </w:r>
      <w:r>
        <w:t xml:space="preserve"> </w:t>
      </w:r>
      <w:r>
        <w:t xml:space="preserve">J’ai longtemps considéré la documentation comme une</w:t>
      </w:r>
      <w:r>
        <w:t xml:space="preserve"> </w:t>
      </w:r>
      <w:r>
        <w:t xml:space="preserve">formalité qui suit le travail. Deux épisodes m’ont fait changer d’avis : la note interne sur</w:t>
      </w:r>
      <w:r>
        <w:t xml:space="preserve"> </w:t>
      </w:r>
      <w:r>
        <w:t xml:space="preserve">la séquence d’injection, qui a servi à la reprise des tiers six mois plus tard et aurait servi</w:t>
      </w:r>
      <w:r>
        <w:t xml:space="preserve"> </w:t>
      </w:r>
      <w:r>
        <w:t xml:space="preserve">à quelqu’un d’autre si je n’avais pas été là ; et la note de procédure de l’import des tiers,</w:t>
      </w:r>
      <w:r>
        <w:t xml:space="preserve"> </w:t>
      </w:r>
      <w:r>
        <w:t xml:space="preserve">qui énonce les manipulations à ne jamais faire avant d’expliquer comment utiliser le fichier.</w:t>
      </w:r>
      <w:r>
        <w:t xml:space="preserve"> </w:t>
      </w: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Livrer, c’est faire adopter.</w:t>
      </w:r>
      <w:r>
        <w:t xml:space="preserve"> </w:t>
      </w:r>
      <w:r>
        <w:t xml:space="preserve">La leçon la plus nette de l’année tient en un épisode : la</w:t>
      </w:r>
      <w:r>
        <w:t xml:space="preserve"> </w:t>
      </w:r>
      <w:r>
        <w:t xml:space="preserve">première version de l’interface du Copilote Financier, techniquement correcte, était</w:t>
      </w:r>
      <w:r>
        <w:t xml:space="preserve"> </w:t>
      </w:r>
      <w:r>
        <w:t xml:space="preserve">inutilisable par ceux à qui elle était destinée, parce qu’elle parlait de scores et de</w:t>
      </w:r>
      <w:r>
        <w:t xml:space="preserve"> </w:t>
      </w:r>
      <w:r>
        <w:t xml:space="preserve">probabilités là où l’on attendait des niveaux d’alerte et des euros. Un livrable n’existe qu’à</w:t>
      </w:r>
      <w:r>
        <w:t xml:space="preserve"> </w:t>
      </w:r>
      <w:r>
        <w:t xml:space="preserve">partir du moment où quelqu’un s’en sert, et la distance entre un résultat juste et un résultat</w:t>
      </w:r>
      <w:r>
        <w:t xml:space="preserve"> </w:t>
      </w:r>
      <w:r>
        <w:t xml:space="preserve">utilisé ne se comble pas par de la pédagogie : elle se comble en changeant le livrable. C’est</w:t>
      </w:r>
      <w:r>
        <w:t xml:space="preserve"> </w:t>
      </w:r>
      <w:r>
        <w:t xml:space="preserve">aussi pourquoi j’ai fait de l’énoncé des limites une partie du livrable, au même titre que les</w:t>
      </w:r>
      <w:r>
        <w:t xml:space="preserve"> </w:t>
      </w:r>
      <w:r>
        <w:t xml:space="preserve">résultats. Dans un exercice universitaire, présenter un modèle faible est un mauvais</w:t>
      </w:r>
      <w:r>
        <w:t xml:space="preserve"> </w:t>
      </w:r>
      <w:r>
        <w:t xml:space="preserve">résultat ; dans une 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</w:t>
      </w:r>
      <w:r>
        <w:t xml:space="preserve"> </w:t>
      </w:r>
      <w:r>
        <w:t xml:space="preserve">que quelqu’un décidera dessus.</w:t>
      </w:r>
    </w:p>
    <w:p>
      <w:pPr>
        <w:pStyle w:val="BodyText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créées dans SPO, hors 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l’essentiel. Ce que l’année a produit de plus durable</w:t>
      </w:r>
      <w:r>
        <w:t xml:space="preserve"> </w:t>
      </w:r>
      <w:r>
        <w:t xml:space="preserve">n’est aucun de ces volumes : ce sont trois définitions écrites quelque part. La séquence</w:t>
      </w:r>
      <w:r>
        <w:t xml:space="preserve"> </w:t>
      </w:r>
      <w:r>
        <w:t xml:space="preserve">d’injection valide pour l’ERP, la clé qui décide qu’un client est le même client, et la</w:t>
      </w:r>
      <w:r>
        <w:t xml:space="preserve"> </w:t>
      </w:r>
      <w:r>
        <w:t xml:space="preserve">formule qui dit ce qu’est la marge d’une opération. Les données se réinjectent ; ces trois</w:t>
      </w:r>
      <w:r>
        <w:t xml:space="preserve"> </w:t>
      </w:r>
      <w:r>
        <w:t xml:space="preserve">décisions-là, il faut les reprendre depuis le début si elles se perdent.</w:t>
      </w:r>
    </w:p>
    <w:bookmarkEnd w:id="130"/>
    <w:bookmarkStart w:id="131" w:name="perspectives-et-projet-professionnel"/>
    <w:p>
      <w:pPr>
        <w:pStyle w:val="Heading2"/>
      </w:pPr>
      <w:r>
        <w:t xml:space="preserve">4.2 Perspectives et projet professionnel</w:t>
      </w:r>
    </w:p>
    <w:p>
      <w:pPr>
        <w:pStyle w:val="FirstParagraph"/>
      </w:pPr>
      <w:r>
        <w:rPr>
          <w:bCs/>
          <w:b/>
        </w:rPr>
        <w:t xml:space="preserve">Achever la reprise et historiser les données.</w:t>
      </w:r>
      <w:r>
        <w:t xml:space="preserve"> </w:t>
      </w:r>
      <w:r>
        <w:t xml:space="preserve">Aucun des chantiers de cette année n’est</w:t>
      </w:r>
      <w:r>
        <w:t xml:space="preserve"> </w:t>
      </w:r>
      <w:r>
        <w:t xml:space="preserve">achevé. La migration vers SPO reste prioritaire : la stratégie des « coquilles vides », si elle</w:t>
      </w:r>
      <w:r>
        <w:t xml:space="preserve"> </w:t>
      </w:r>
      <w:r>
        <w:t xml:space="preserve">a sauvé le démarrage de la facturation, doit laisser place à une reprise exhaustive —</w:t>
      </w:r>
      <w:r>
        <w:t xml:space="preserve"> </w:t>
      </w:r>
      <w:r>
        <w:t xml:space="preserve">historiques budgétaires complets, contrôle de cohérence comptable et tests finaux avant la</w:t>
      </w:r>
      <w:r>
        <w:t xml:space="preserve"> </w:t>
      </w:r>
      <w:r>
        <w:t xml:space="preserve">bascule définitive. Le fichier de reprise des tiers devra être rejoué avant cette bascule,</w:t>
      </w:r>
      <w:r>
        <w:t xml:space="preserve"> </w:t>
      </w:r>
      <w:r>
        <w:t xml:space="preserve">pour écarter les tiers créés entre-temps par les équipes commerciales.</w:t>
      </w:r>
    </w:p>
    <w:p>
      <w:pPr>
        <w:pStyle w:val="BodyText"/>
      </w:pPr>
      <w:r>
        <w:t xml:space="preserve">S’y 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</w:t>
      </w:r>
      <w:r>
        <w:rPr>
          <w:bCs/>
          <w:b/>
        </w:rPr>
        <w:t xml:space="preserve"> </w:t>
      </w:r>
      <w:r>
        <w:rPr>
          <w:bCs/>
          <w:b/>
        </w:rPr>
        <w:t xml:space="preserve">les exports mensuels dans le nouvel ERP</w:t>
      </w:r>
      <w:r>
        <w:t xml:space="preserve">. C’est l’absence de cet historique qui plafonne</w:t>
      </w:r>
      <w:r>
        <w:t xml:space="preserve"> </w:t>
      </w:r>
      <w:r>
        <w:t xml:space="preserve">aujourd’hui l’analyse du risque de marge. Au bout d’un an de conservation, le score statique</w:t>
      </w:r>
      <w:r>
        <w:t xml:space="preserve"> </w:t>
      </w:r>
      <w:r>
        <w:t xml:space="preserve">deviendrait un véritable suivi de trajectoire. Cette recommandation ne coûte presque rien à</w:t>
      </w:r>
      <w:r>
        <w:t xml:space="preserve"> </w:t>
      </w:r>
      <w:r>
        <w:t xml:space="preserve">mettre en œuvre ; elle coûte seulement d’y penser maintenant plutôt que dans deux ans.</w:t>
      </w:r>
    </w:p>
    <w:p>
      <w:pPr>
        <w:pStyle w:val="BodyText"/>
      </w:pPr>
      <w:r>
        <w:rPr>
          <w:bCs/>
          <w:b/>
        </w:rPr>
        <w:t xml:space="preserve">Faire vivre le Copilote Financier.</w:t>
      </w:r>
      <w:r>
        <w:t xml:space="preserve"> </w:t>
      </w:r>
      <w:r>
        <w:t xml:space="preserve">L’application livrée est fonctionnelle et</w:t>
      </w:r>
      <w:r>
        <w:t xml:space="preserve"> </w:t>
      </w:r>
      <w:r>
        <w:t xml:space="preserve">reproductible, mais elle reste une photographie. Trois évolutions la rendraient durable :</w:t>
      </w:r>
      <w:r>
        <w:t xml:space="preserve"> </w:t>
      </w:r>
      <w:r>
        <w:t xml:space="preserve">l’historisation déjà évoquée, qui transformerait le score de risque en suivi ;</w:t>
      </w:r>
      <w:r>
        <w:t xml:space="preserve"> </w:t>
      </w:r>
      <w:r>
        <w:t xml:space="preserve">l’extension à l’aménagement foncier, dont la logique économique différente suppose un</w:t>
      </w:r>
      <w:r>
        <w:t xml:space="preserve"> </w:t>
      </w:r>
      <w:r>
        <w:t xml:space="preserve">traitement dédié plutôt qu’une simple levée de filtre ; et la fiabilisation de la saisie des</w:t>
      </w:r>
      <w:r>
        <w:t xml:space="preserve"> </w:t>
      </w:r>
      <w:r>
        <w:t xml:space="preserve">motifs de désistement, sans laquelle les analyses commerciales resteront partielles sur une</w:t>
      </w:r>
      <w:r>
        <w:t xml:space="preserve"> </w:t>
      </w:r>
      <w:r>
        <w:t xml:space="preserve">partie du réseau.</w:t>
      </w:r>
    </w:p>
    <w:p>
      <w:pPr>
        <w:pStyle w:val="BodyText"/>
      </w:pPr>
      <w:r>
        <w:rPr>
          <w:bCs/>
          <w:b/>
        </w:rPr>
        <w:t xml:space="preserve">L’intégration à l’infrastructure Nexity.</w:t>
      </w:r>
      <w:r>
        <w:t xml:space="preserve"> </w:t>
      </w:r>
      <w:r>
        <w:t xml:space="preserve">Une mission structurante, non prévue</w:t>
      </w:r>
      <w:r>
        <w:t xml:space="preserve"> </w:t>
      </w:r>
      <w:r>
        <w:t xml:space="preserve">initialement, s’ajoute à cette feuille de route : le passage vers l’infrastructure technique</w:t>
      </w:r>
      <w:r>
        <w:t xml:space="preserve"> </w:t>
      </w:r>
      <w:r>
        <w:t xml:space="preserve">du groupe Nexity, qui engendrera des adaptations de nos outils — reconfiguration des</w:t>
      </w:r>
      <w:r>
        <w:t xml:space="preserve"> </w:t>
      </w:r>
      <w:r>
        <w:t xml:space="preserve">connecteurs de bases, protocoles de sécurité pour les accès distants, migration de scripts</w:t>
      </w:r>
      <w:r>
        <w:t xml:space="preserve"> </w:t>
      </w:r>
      <w:r>
        <w:t xml:space="preserve">d’automatisation. Cette perspective a déjà influé sur mes choix techniques : le test de montée</w:t>
      </w:r>
      <w:r>
        <w:t xml:space="preserve"> </w:t>
      </w:r>
      <w:r>
        <w:t xml:space="preserve">en charge conduit dans le projet analytique n’avait pas d’autre objet que de savoir si</w:t>
      </w:r>
      <w:r>
        <w:t xml:space="preserve"> </w:t>
      </w:r>
      <w:r>
        <w:t xml:space="preserve">l’architecture retenue tiendrait à une échelle supérieure.</w:t>
      </w:r>
    </w:p>
    <w:p>
      <w:pPr>
        <w:pStyle w:val="BodyText"/>
      </w:pPr>
      <w:r>
        <w:rPr>
          <w:bCs/>
          <w:b/>
        </w:rPr>
        <w:t xml:space="preserve">Le positionnement que je vise.</w:t>
      </w:r>
      <w:r>
        <w:t xml:space="preserve"> </w:t>
      </w:r>
      <w:r>
        <w:t xml:space="preserve">Ces deux années ont déplacé mon projet. J’y suis entrée en</w:t>
      </w:r>
      <w:r>
        <w:t xml:space="preserve"> </w:t>
      </w:r>
      <w:r>
        <w:t xml:space="preserve">visant la data science au sens strict, la modélisation prédictive ; j’en sors en visant un</w:t>
      </w:r>
      <w:r>
        <w:t xml:space="preserve"> </w:t>
      </w:r>
      <w:r>
        <w:t xml:space="preserve">positionnement plus large :</w:t>
      </w:r>
      <w:r>
        <w:t xml:space="preserve"> </w:t>
      </w:r>
      <w:r>
        <w:rPr>
          <w:bCs/>
          <w:b/>
        </w:rPr>
        <w:t xml:space="preserve">construire et fiabiliser les chaînes de données qui rendent la</w:t>
      </w:r>
      <w:r>
        <w:rPr>
          <w:bCs/>
          <w:b/>
        </w:rPr>
        <w:t xml:space="preserve"> </w:t>
      </w:r>
      <w:r>
        <w:rPr>
          <w:bCs/>
          <w:b/>
        </w:rPr>
        <w:t xml:space="preserve">décision possible, puis les outiller</w:t>
      </w:r>
      <w:r>
        <w:t xml:space="preserve">. Il croise trois domaines que l’année m’a fait pratiquer</w:t>
      </w:r>
      <w:r>
        <w:t xml:space="preserve"> </w:t>
      </w:r>
      <w:r>
        <w:t xml:space="preserve">ensemble : l’</w:t>
      </w:r>
      <w:r>
        <w:rPr>
          <w:bCs/>
          <w:b/>
        </w:rPr>
        <w:t xml:space="preserve">ingénierie des données</w:t>
      </w:r>
      <w:r>
        <w:t xml:space="preserve">, sur laquelle j’ai le plus progressé — reprises,</w:t>
      </w:r>
      <w:r>
        <w:t xml:space="preserve"> </w:t>
      </w:r>
      <w:r>
        <w:t xml:space="preserve">migrations, interfaces de programmation, déduplication, modélisation d’une base analytique ;</w:t>
      </w:r>
      <w:r>
        <w:t xml:space="preserve"> </w:t>
      </w:r>
      <w:r>
        <w:t xml:space="preserve">l’</w:t>
      </w:r>
      <w:r>
        <w:rPr>
          <w:bCs/>
          <w:b/>
        </w:rPr>
        <w:t xml:space="preserve">analyse et la modélisation</w:t>
      </w:r>
      <w:r>
        <w:t xml:space="preserve">, entendues comme le choix d’une méthode proportionnée à la</w:t>
      </w:r>
      <w:r>
        <w:t xml:space="preserve"> </w:t>
      </w:r>
      <w:r>
        <w:t xml:space="preserve">donnée disponible et sa validation honnête ; la</w:t>
      </w:r>
      <w:r>
        <w:t xml:space="preserve"> </w:t>
      </w:r>
      <w:r>
        <w:rPr>
          <w:bCs/>
          <w:b/>
        </w:rPr>
        <w:t xml:space="preserve">restitution et le dialogue avec les</w:t>
      </w:r>
      <w:r>
        <w:rPr>
          <w:bCs/>
          <w:b/>
        </w:rPr>
        <w:t xml:space="preserve"> </w:t>
      </w:r>
      <w:r>
        <w:rPr>
          <w:bCs/>
          <w:b/>
        </w:rPr>
        <w:t xml:space="preserve">métiers</w:t>
      </w:r>
      <w:r>
        <w:t xml:space="preserve">, c’est-à-dire la traduction d’un besoin en spécification puis d’un résultat en écran.</w:t>
      </w:r>
      <w:r>
        <w:t xml:space="preserve"> </w:t>
      </w:r>
      <w:r>
        <w:t xml:space="preserve">Un profil qui ne tiendrait que le premier produirait des pipelines que personne n’interroge ;</w:t>
      </w:r>
      <w:r>
        <w:t xml:space="preserve"> </w:t>
      </w:r>
      <w:r>
        <w:t xml:space="preserve">un profil qui ne tiendrait que le deuxième modéliserait des données dont il ignore la</w:t>
      </w:r>
      <w:r>
        <w:t xml:space="preserve"> </w:t>
      </w:r>
      <w:r>
        <w:t xml:space="preserve">provenance.</w:t>
      </w:r>
    </w:p>
    <w:p>
      <w:pPr>
        <w:pStyle w:val="BodyText"/>
      </w:pPr>
      <w:r>
        <w:t xml:space="preserve">À court terme, je souhaite poursuivre au sein du groupe, sur le périmètre données et système</w:t>
      </w:r>
      <w:r>
        <w:t xml:space="preserve"> </w:t>
      </w:r>
      <w:r>
        <w:t xml:space="preserve">d’information : la reprise des historiques budgétaires, la bascule définitive vers SPO et</w:t>
      </w:r>
      <w:r>
        <w:t xml:space="preserve"> </w:t>
      </w:r>
      <w:r>
        <w:t xml:space="preserve">l’adaptation des outils à l’infrastructure Nexity forment un ensemble sur lequel ma</w:t>
      </w:r>
      <w:r>
        <w:t xml:space="preserve"> </w:t>
      </w:r>
      <w:r>
        <w:t xml:space="preserve">connaissance du modèle de données constitue un avantage que personne d’autre n’a aujourd’hui</w:t>
      </w:r>
      <w:r>
        <w:t xml:space="preserve"> </w:t>
      </w:r>
      <w:r>
        <w:t xml:space="preserve">dans l’entreprise. À moyen terme, je vise un poste d’ingénieure données orientée aide à la</w:t>
      </w:r>
      <w:r>
        <w:t xml:space="preserve"> </w:t>
      </w:r>
      <w:r>
        <w:t xml:space="preserve">décision, dans une entreprise de taille intermédiaire sans équipe data constituée, où le poste</w:t>
      </w:r>
      <w:r>
        <w:t xml:space="preserve"> </w:t>
      </w:r>
      <w:r>
        <w:t xml:space="preserve">couvre toute la chaîne, ou dans une direction data structurée où je travaillerais enfin à</w:t>
      </w:r>
      <w:r>
        <w:t xml:space="preserve"> </w:t>
      </w:r>
      <w:r>
        <w:t xml:space="preserve">plusieurs sur un même chantier.</w:t>
      </w:r>
    </w:p>
    <w:p>
      <w:pPr>
        <w:pStyle w:val="BodyText"/>
      </w:pPr>
      <w:r>
        <w:rPr>
          <w:bCs/>
          <w:b/>
        </w:rPr>
        <w:t xml:space="preserve">Ce qu’il me reste à consolider.</w:t>
      </w:r>
      <w:r>
        <w:t xml:space="preserve"> </w:t>
      </w:r>
      <w:r>
        <w:t xml:space="preserve">Il serait présomptueux de conclure sans nommer ce qui me</w:t>
      </w:r>
      <w:r>
        <w:t xml:space="preserve"> </w:t>
      </w:r>
      <w:r>
        <w:t xml:space="preserve">manque, d’autant que l’année l’a rendu visible. L’</w:t>
      </w:r>
      <w:r>
        <w:rPr>
          <w:bCs/>
          <w:b/>
        </w:rPr>
        <w:t xml:space="preserve">industrialisation</w:t>
      </w:r>
      <w:r>
        <w:t xml:space="preserve"> </w:t>
      </w:r>
      <w:r>
        <w:t xml:space="preserve">d’abord : j’ai</w:t>
      </w:r>
      <w:r>
        <w:t xml:space="preserve"> </w:t>
      </w:r>
      <w:r>
        <w:t xml:space="preserve">construit des chaînes reproductibles, mais elles se lancent à la main, et passer à une</w:t>
      </w:r>
      <w:r>
        <w:t xml:space="preserve"> </w:t>
      </w:r>
      <w:r>
        <w:t xml:space="preserve">exécution planifiée, surveillée et alertée en cas d’échec est ce qui sépare un livrable d’un</w:t>
      </w:r>
      <w:r>
        <w:t xml:space="preserve"> </w:t>
      </w:r>
      <w:r>
        <w:t xml:space="preserve">service.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 </w:t>
      </w:r>
      <w:r>
        <w:t xml:space="preserve">ensuite : c’est l’axe où le</w:t>
      </w:r>
      <w:r>
        <w:t xml:space="preserve"> </w:t>
      </w:r>
      <w:r>
        <w:t xml:space="preserve">projet du second semestre a donné les meilleurs résultats, et celui où j’ai le plus senti la</w:t>
      </w:r>
      <w:r>
        <w:t xml:space="preserve"> </w:t>
      </w:r>
      <w:r>
        <w:t xml:space="preserve">limite de mes acquis.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 </w:t>
      </w:r>
      <w:r>
        <w:t xml:space="preserve">enfin : deux ans seule sur les</w:t>
      </w:r>
      <w:r>
        <w:t xml:space="preserve"> </w:t>
      </w:r>
      <w:r>
        <w:t xml:space="preserve">sujets data laissent hors champ les conventions de code partagées, la revue par un pair et la</w:t>
      </w:r>
      <w:r>
        <w:t xml:space="preserve"> </w:t>
      </w:r>
      <w:r>
        <w:t xml:space="preserve">répartition d’un chantier entre plusieurs personnes.</w:t>
      </w:r>
    </w:p>
    <w:bookmarkEnd w:id="131"/>
    <w:bookmarkEnd w:id="132"/>
    <w:bookmarkStart w:id="13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Cette deuxième année d’alternance a été dominée par des enjeux d’ingénierie des données et</w:t>
      </w:r>
      <w:r>
        <w:t xml:space="preserve"> </w:t>
      </w:r>
      <w:r>
        <w:t xml:space="preserve">d’architecture système, avant de revenir au second semestre à la modélisation statistique.</w:t>
      </w:r>
    </w:p>
    <w:p>
      <w:pPr>
        <w:pStyle w:val="BodyText"/>
      </w:pPr>
      <w:r>
        <w:t xml:space="preserve">Le premier semestre a été celui de la reconstruction du socle. La migration de Grimmo vers</w:t>
      </w:r>
      <w:r>
        <w:t xml:space="preserve"> </w:t>
      </w:r>
      <w:r>
        <w:t xml:space="preserve">l’ERP SPO ne consistait pas à transférer des données, mais à rétro-concevoir un modèle dont</w:t>
      </w:r>
      <w:r>
        <w:t xml:space="preserve"> </w:t>
      </w:r>
      <w:r>
        <w:t xml:space="preserve">les règles n’étaient pas documentées, à résoudre des problèmes d’intégrité référentielle avec</w:t>
      </w:r>
      <w:r>
        <w:t xml:space="preserve"> </w:t>
      </w:r>
      <w:r>
        <w:t xml:space="preserve">la gestion des identifiants dynamiques et du versionnement, et à adapter la technique aux</w:t>
      </w:r>
      <w:r>
        <w:t xml:space="preserve"> </w:t>
      </w:r>
      <w:r>
        <w:t xml:space="preserve">impératifs métier — ce qu’illustre l’adoption des « coquilles vides » pour sécuriser le</w:t>
      </w:r>
      <w:r>
        <w:t xml:space="preserve"> </w:t>
      </w:r>
      <w:r>
        <w:t xml:space="preserve">démarrage de la facturation. En parallèle, j’ai maintenu le service sur le reporting, avec la</w:t>
      </w:r>
      <w:r>
        <w:t xml:space="preserve"> </w:t>
      </w:r>
      <w:r>
        <w:t xml:space="preserve">mise en œuvre d’une règle juridique complexe malgré les contraintes de nos outils, et</w:t>
      </w:r>
      <w:r>
        <w:t xml:space="preserve"> </w:t>
      </w:r>
      <w:r>
        <w:t xml:space="preserve">participé au déploiement du SSO.</w:t>
      </w:r>
    </w:p>
    <w:p>
      <w:pPr>
        <w:pStyle w:val="BodyText"/>
      </w:pPr>
      <w:r>
        <w:t xml:space="preserve">Le second semestre a prolongé ce travail, puis l’a valorisé. La reprise des tiers a achevé de</w:t>
      </w:r>
      <w:r>
        <w:t xml:space="preserve"> </w:t>
      </w:r>
      <w:r>
        <w:t xml:space="preserve">constituer le socle commercial du nouvel ERP, en créant 1 434 clients acquéreurs sans doublon</w:t>
      </w:r>
      <w:r>
        <w:t xml:space="preserve"> </w:t>
      </w:r>
      <w:r>
        <w:t xml:space="preserve">détecté par les trois clés d’unicité retenues. Le Copilote Financier a ensuite exploité ce</w:t>
      </w:r>
      <w:r>
        <w:t xml:space="preserve"> </w:t>
      </w:r>
      <w:r>
        <w:t xml:space="preserve">socle pour outiller la direction financière sur trois questions de gestion, de bout en bout,</w:t>
      </w:r>
      <w:r>
        <w:t xml:space="preserve"> </w:t>
      </w:r>
      <w:r>
        <w:t xml:space="preserve">de la compréhension des exports jusqu’à une application que les contrôleurs de gestion ouvrent</w:t>
      </w:r>
      <w:r>
        <w:t xml:space="preserve"> </w:t>
      </w:r>
      <w:r>
        <w:t xml:space="preserve">eux-mêmes.</w:t>
      </w:r>
    </w:p>
    <w:p>
      <w:pPr>
        <w:pStyle w:val="BodyText"/>
      </w:pPr>
      <w:r>
        <w:t xml:space="preserve">Ce parcours aura démontré la thèse annoncée en introduction, et il l’aura fait deux fois. Une</w:t>
      </w:r>
      <w:r>
        <w:t xml:space="preserve"> </w:t>
      </w:r>
      <w:r>
        <w:t xml:space="preserve">première fois en creux, lorsque la charge de la migration a repoussé le projet de modélisation</w:t>
      </w:r>
      <w:r>
        <w:t xml:space="preserve"> </w:t>
      </w:r>
      <w:r>
        <w:t xml:space="preserve">au second semestre : modéliser des phénomènes financiers sur une base fragmentée entre</w:t>
      </w:r>
      <w:r>
        <w:t xml:space="preserve"> </w:t>
      </w:r>
      <w:r>
        <w:t xml:space="preserve">l’ancien et le nouveau système aurait donné des résultats biaisés et non pérennes. Une seconde</w:t>
      </w:r>
      <w:r>
        <w:t xml:space="preserve"> </w:t>
      </w:r>
      <w:r>
        <w:t xml:space="preserve">fois en plein, lorsque le projet de Data Science a donné des résultats solides sur le rythme</w:t>
      </w:r>
      <w:r>
        <w:t xml:space="preserve"> </w:t>
      </w:r>
      <w:r>
        <w:t xml:space="preserve">d’écoulement, où les données avaient une profondeur temporelle, et modestes sur le risque de</w:t>
      </w:r>
      <w:r>
        <w:t xml:space="preserve"> </w:t>
      </w:r>
      <w:r>
        <w:t xml:space="preserve">marge, où elles n’étaient qu’une photographie à date. La structure de la donnée commande ce</w:t>
      </w:r>
      <w:r>
        <w:t xml:space="preserve"> </w:t>
      </w:r>
      <w:r>
        <w:t xml:space="preserve">que la modélisation peut en tirer : c’est le même énoncé, obtenu par deux chemins</w:t>
      </w:r>
      <w:r>
        <w:t xml:space="preserve"> </w:t>
      </w:r>
      <w:r>
        <w:t xml:space="preserve">indépendants.</w:t>
      </w:r>
    </w:p>
    <w:p>
      <w:pPr>
        <w:pStyle w:val="BodyText"/>
      </w:pPr>
      <w:r>
        <w:t xml:space="preserve">Il reste beaucoup à faire. La migration n’est pas achevée, l’historique budgétaire reste à</w:t>
      </w:r>
      <w:r>
        <w:t xml:space="preserve"> </w:t>
      </w:r>
      <w:r>
        <w:t xml:space="preserve">reprendre, l’intégration à l’infrastructure Nexity s’annonce, et le Copilote Financier ne</w:t>
      </w:r>
      <w:r>
        <w:t xml:space="preserve"> </w:t>
      </w:r>
      <w:r>
        <w:t xml:space="preserve">deviendra un véritable outil de suivi que lorsque les exports auront été historisés sur une</w:t>
      </w:r>
      <w:r>
        <w:t xml:space="preserve"> </w:t>
      </w:r>
      <w:r>
        <w:t xml:space="preserve">durée suffisante. Ce que cette année aura établi n’en dépend pas. Un projet de données ne se</w:t>
      </w:r>
      <w:r>
        <w:t xml:space="preserve"> </w:t>
      </w:r>
      <w:r>
        <w:t xml:space="preserve">joue pas au moment du choix de l’algorithme mais bien avant, lorsqu’on décide ce qu’est un</w:t>
      </w:r>
      <w:r>
        <w:t xml:space="preserve"> </w:t>
      </w:r>
      <w:r>
        <w:t xml:space="preserve">client, ce qu’est une marge, ou ce que contient réellement un fichier dont le nom annonce</w:t>
      </w:r>
      <w:r>
        <w:t xml:space="preserve"> </w:t>
      </w:r>
      <w:r>
        <w:t xml:space="preserve">autre chose. Structurer une donnée et la modéliser ne sont pas deux métiers successifs, mais</w:t>
      </w:r>
      <w:r>
        <w:t xml:space="preserve"> </w:t>
      </w:r>
      <w:r>
        <w:t xml:space="preserve">deux moments du même travail, et c’est le premier qui décide de ce que le second pourra en</w:t>
      </w:r>
      <w:r>
        <w:t xml:space="preserve"> </w:t>
      </w:r>
      <w:r>
        <w:t xml:space="preserve">tirer.</w:t>
      </w:r>
    </w:p>
    <w:bookmarkEnd w:id="133"/>
    <w:bookmarkStart w:id="140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34">
        <w:r>
          <w:rPr>
            <w:rStyle w:val="Hyperlink"/>
          </w:rPr>
          <w:t xml:space="preserve">https://www.michaelpage.fr/advice/m%C3%A9tiers/syst%C3%A8mes-dinformation/fiche-m%C3%A9tier-gestionnaire-d%E2%80%99applications</w:t>
        </w:r>
      </w:hyperlink>
      <w:r>
        <w:t xml:space="preserve">.</w:t>
      </w:r>
    </w:p>
    <w:p>
      <w:pPr>
        <w:pStyle w:val="BodyText"/>
      </w:pPr>
      <w:r>
        <w:t xml:space="preserve">[2]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 et</w:t>
      </w:r>
      <w:r>
        <w:rPr>
          <w:iCs/>
          <w:i/>
        </w:rPr>
        <w:t xml:space="preserve"> </w:t>
      </w:r>
      <w:r>
        <w:rPr>
          <w:iCs/>
          <w:i/>
        </w:rPr>
        <w:t xml:space="preserve">documentation technique de son API.</w:t>
      </w:r>
      <w:r>
        <w:t xml:space="preserve"> </w:t>
      </w:r>
      <w:r>
        <w:t xml:space="preserve">[En ligne]. Disponible sur :</w:t>
      </w:r>
      <w:r>
        <w:t xml:space="preserve"> </w:t>
      </w:r>
      <w:hyperlink r:id="rId135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[3]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36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[4]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37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[5]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38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[6]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39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hyperlink" Id="rId137" Target="https://data.ecb.europa.eu/" TargetMode="External" /><Relationship Type="http://schemas.openxmlformats.org/officeDocument/2006/relationships/hyperlink" Id="rId138" Target="https://ec.europa.eu/eurostat" TargetMode="External" /><Relationship Type="http://schemas.openxmlformats.org/officeDocument/2006/relationships/hyperlink" Id="rId139" Target="https://geo.api.gouv.fr/" TargetMode="External" /><Relationship Type="http://schemas.openxmlformats.org/officeDocument/2006/relationships/hyperlink" Id="rId134" Target="https://www.michaelpage.fr/advice/m%C3%A9tiers/syst%C3%A8mes-dinformation/fiche-m%C3%A9tier-gestionnaire-d%E2%80%99applications" TargetMode="External" /><Relationship Type="http://schemas.openxmlformats.org/officeDocument/2006/relationships/hyperlink" Id="rId136" Target="https://www.rfc-editor.org/rfc/rfc6902" TargetMode="External" /><Relationship Type="http://schemas.openxmlformats.org/officeDocument/2006/relationships/hyperlink" Id="rId135" Target="https://www.salviadeveloppement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https://data.ecb.europa.eu/" TargetMode="External" /><Relationship Type="http://schemas.openxmlformats.org/officeDocument/2006/relationships/hyperlink" Id="rId138" Target="https://ec.europa.eu/eurostat" TargetMode="External" /><Relationship Type="http://schemas.openxmlformats.org/officeDocument/2006/relationships/hyperlink" Id="rId139" Target="https://geo.api.gouv.fr/" TargetMode="External" /><Relationship Type="http://schemas.openxmlformats.org/officeDocument/2006/relationships/hyperlink" Id="rId134" Target="https://www.michaelpage.fr/advice/m%C3%A9tiers/syst%C3%A8mes-dinformation/fiche-m%C3%A9tier-gestionnaire-d%E2%80%99applications" TargetMode="External" /><Relationship Type="http://schemas.openxmlformats.org/officeDocument/2006/relationships/hyperlink" Id="rId136" Target="https://www.rfc-editor.org/rfc/rfc6902" TargetMode="External" /><Relationship Type="http://schemas.openxmlformats.org/officeDocument/2006/relationships/hyperlink" Id="rId135" Target="https://www.salviadeveloppement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2026-08-19T09:13:06Z</dcterms:created>
  <dcterms:modified xsi:type="dcterms:W3CDTF">2026-08-19T09:13:06Z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issoutenance">
    <vt:lpwstr>Septembre 2026</vt:lpwstr>
  </property>
  <property fmtid="{D5CDD505-2E9C-101B-9397-08002B2CF9AE}" pid="6" name="motscles">
    <vt:lpwstr>Ingénierie des données, migration d’ERP, reprise de données, API, reporting, aide à la décision, machine learning, immobilier</vt:lpwstr>
  </property>
  <property fmtid="{D5CDD505-2E9C-101B-9397-08002B2CF9AE}" pid="7" name="output">
    <vt:lpwstr/>
  </property>
  <property fmtid="{D5CDD505-2E9C-101B-9397-08002B2CF9AE}" pid="8" name="pagedetitre">
    <vt:lpwstr>True</vt:lpwstr>
  </property>
  <property fmtid="{D5CDD505-2E9C-101B-9397-08002B2CF9AE}" pid="9" name="soustitre">
    <vt:lpwstr>Fiabiliser la donnée d’un promoteur-aménageur, puis la mettre au service de la décision</vt:lpwstr>
  </property>
  <property fmtid="{D5CDD505-2E9C-101B-9397-08002B2CF9AE}" pid="10" name="titrememoire">
    <vt:lpwstr>Du Data Engineering à la Data Science</vt:lpwstr>
  </property>
  <property fmtid="{D5CDD505-2E9C-101B-9397-08002B2CF9AE}" pid="11" name="tutriceentreprise">
    <vt:lpwstr>Mme Cruanas</vt:lpwstr>
  </property>
  <property fmtid="{D5CDD505-2E9C-101B-9397-08002B2CF9AE}" pid="12" name="tutriceuniversitaire">
    <vt:lpwstr>Mme Trottier</vt:lpwstr>
  </property>
</Properties>
</file>