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2 157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cas, sans grille ni justification chiffrée.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 Le matériau disponible se résume à 267 opérations et quatre exports Excel, soit</w:t>
      </w:r>
      <w:r>
        <w:t xml:space="preserve"> </w:t>
      </w:r>
      <w:r>
        <w:t xml:space="preserve">une photographie à date. Cette lucidité initiale sur la nature du problème a évité, je</w:t>
      </w:r>
      <w:r>
        <w:t xml:space="preserve"> </w:t>
      </w:r>
      <w:r>
        <w:t xml:space="preserve">crois, une bonne partie des erreurs que j’aurais pu commettre en cherchant à appliquer des</w:t>
      </w:r>
      <w:r>
        <w:t xml:space="preserve"> </w:t>
      </w:r>
      <w:r>
        <w:t xml:space="preserve">méthodes disproportionnées.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travail, et je les ai posées avant de</w:t>
      </w:r>
      <w:r>
        <w:t xml:space="preserve"> </w:t>
      </w:r>
      <w:r>
        <w:t xml:space="preserve">commencer plutôt qu’après coup.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déterminent, faute de quoi un contrôleur de gestion n’a aucune raison de lui faire</w:t>
      </w:r>
      <w:r>
        <w:t xml:space="preserve"> </w:t>
      </w:r>
      <w:r>
        <w:t xml:space="preserve">confiance.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j’en ai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2 157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65 000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65 000 lignes se décomposent en 64 788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64 788 lignes</w:t>
      </w:r>
      <w:r>
        <w:t xml:space="preserve"> </w:t>
      </w:r>
      <w:r>
        <w:t xml:space="preserve">budgétaires, 14 123 lots, 14 428 dossiers de vente et 2 164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le problème que j’avais rencontré sur les reportings décrits dans mon mémoire de</w:t>
      </w:r>
      <w:r>
        <w:t xml:space="preserve"> </w:t>
      </w:r>
      <w:r>
        <w:t xml:space="preserve">mi-parcours, où la même notion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interdisait</w:t>
      </w:r>
      <w:r>
        <w:t xml:space="preserve"> </w:t>
      </w:r>
      <w:r>
        <w:t xml:space="preserve">d’appliquer 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montre les deux distributions côte à</w:t>
      </w:r>
      <w:r>
        <w:t xml:space="preserve"> </w:t>
      </w:r>
      <w:r>
        <w:t xml:space="preserve">côte. C’est ce constat qui a conduit l’axe C à modéliser le logarithme du prix plutôt que</w:t>
      </w:r>
      <w:r>
        <w:t xml:space="preserve"> </w:t>
      </w:r>
      <w:r>
        <w:t xml:space="preserve">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à la fois l’intuition des équipes commerciales et tout ce que</w:t>
      </w:r>
      <w:r>
        <w:t xml:space="preserve"> </w:t>
      </w:r>
      <w:r>
        <w:t xml:space="preserve">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ce qui soutient le</w:t>
      </w:r>
      <w:r>
        <w:t xml:space="preserve"> </w:t>
      </w:r>
      <w:r>
        <w:t xml:space="preserve">volume 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1 561,8 M€ de dépenses budgétées et 1 754,8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est concluant,</w:t>
      </w:r>
      <w:r>
        <w:t xml:space="preserve"> </w:t>
      </w:r>
      <w:r>
        <w:t xml:space="preserve">mais par la négative. Sur notre volumétrie, 64 788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la bonne architecture à cette échelle, et il faut savoir le</w:t>
      </w:r>
      <w:r>
        <w:t xml:space="preserve"> </w:t>
      </w:r>
      <w:r>
        <w:t xml:space="preserve">dire plutôt que d’ajouter une technologie parce qu’elle figure au programme. L’intérêt du</w:t>
      </w:r>
      <w:r>
        <w:t xml:space="preserve"> </w:t>
      </w:r>
      <w:r>
        <w:t xml:space="preserve">test est ailleurs : le chemin de montée en charge est identifié et documenté, si le</w:t>
      </w:r>
      <w:r>
        <w:t xml:space="preserve"> </w:t>
      </w:r>
      <w:r>
        <w:t xml:space="preserve">périmètre devait un jour 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 définition, avec des</w:t>
      </w:r>
      <w:r>
        <w:t xml:space="preserve"> </w:t>
      </w:r>
      <w:r>
        <w:t xml:space="preserve">performances flatteuses et parfaitement trompeuses.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engagée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engagée sur les 123 opérations du périmètre, et seuil de dérive matérielle à -2 %</w:t>
      </w:r>
    </w:p>
    <w:p>
      <w:pPr>
        <w:pStyle w:val="BodyText"/>
      </w:pPr>
      <w:r>
        <w:t xml:space="preserve">Un point mérite d’être dit clairement, parce qu’il va à l’encontre de ce qu’on attend d’un</w:t>
      </w:r>
      <w:r>
        <w:t xml:space="preserve"> </w:t>
      </w:r>
      <w:r>
        <w:t xml:space="preserve">projet de Data Science. La partie la plus utile de cet axe pour l’entreprise n’est pas un</w:t>
      </w:r>
      <w:r>
        <w:t xml:space="preserve"> </w:t>
      </w:r>
      <w:r>
        <w:t xml:space="preserve">modèle appris : c’est le tableau descriptif des dépassements engagés en euros, par</w:t>
      </w:r>
      <w:r>
        <w:t xml:space="preserve"> </w:t>
      </w:r>
      <w:r>
        <w:t xml:space="preserve">opération et par poste, calculé en SQL pur. C’est lui qui alimente la page « Alertes</w:t>
      </w:r>
      <w:r>
        <w:t xml:space="preserve"> </w:t>
      </w:r>
      <w:r>
        <w:t xml:space="preserve">marge » de la plateforme, et c’est lui que les contrôleurs de gestion consultent.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contre 0</w:t>
      </w:r>
      <w:r>
        <w:t xml:space="preserve"> </w:t>
      </w:r>
      <w:r>
        <w:t xml:space="preserve">pour la 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 Un score F1 de 0,3 contre une référence à 0 signifie que le</w:t>
      </w:r>
      <w:r>
        <w:t xml:space="preserve"> </w:t>
      </w:r>
      <w:r>
        <w:t xml:space="preserve">modèle détecte quelque chose là où l’approche naïve ne détecte rien, ce qui est utile pour</w:t>
      </w:r>
      <w:r>
        <w:t xml:space="preserve"> </w:t>
      </w:r>
      <w:r>
        <w:t xml:space="preserve">ordonner une revue de gestion, mais ne permet pas de fonder une décision à lui seul.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C’est l’axe dont les résultats sont les plus solides, et celui qui sert le plus directement</w:t>
      </w:r>
      <w:r>
        <w:t xml:space="preserve"> </w:t>
      </w:r>
      <w:r>
        <w:t xml:space="preserve">la décision budgétaire.</w:t>
      </w:r>
    </w:p>
    <w:p>
      <w:pPr>
        <w:pStyle w:val="BodyText"/>
      </w:pPr>
      <w:r>
        <w:t xml:space="preserve">Le rythme de vente est modélisé sur un panel opération × mois, soit 3 230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 dans les règles de l’art : vérification que les résidus sont</w:t>
      </w:r>
      <w:r>
        <w:t xml:space="preserve"> </w:t>
      </w:r>
      <w:r>
        <w:t xml:space="preserve">assimilables à un bruit blanc d’abord, sélection du modèle par le critère AICc ensuite.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avancés, restriction</w:t>
      </w:r>
      <w:r>
        <w:t xml:space="preserve"> </w:t>
      </w:r>
      <w:r>
        <w:t xml:space="preserve">que j’ai codée dans la plateforme plutôt que laissée à l’appréciation de l’utilisateur.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Le modèle de prix est volontairement le plus simple qui fonctionne. Il s’agit d’une</w:t>
      </w:r>
      <w:r>
        <w:t xml:space="preserve"> </w:t>
      </w:r>
      <w:r>
        <w:t xml:space="preserve">régression linéaire du logarithme du prix au mètre carré des 5 064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ajusté. Les deux axes disent</w:t>
      </w:r>
      <w:r>
        <w:t xml:space="preserve"> </w:t>
      </w:r>
      <w:r>
        <w:t xml:space="preserve">donc la même chose par deux chemins indépendants, ce qui renforce la confiance que l’on</w:t>
      </w:r>
      <w:r>
        <w:t xml:space="preserve"> </w:t>
      </w:r>
      <w:r>
        <w:t xml:space="preserve">peut accorder à l’un comme à l’autre.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9 688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utilisable, dans un contexte où ces remises ne font</w:t>
      </w:r>
      <w:r>
        <w:t xml:space="preserve"> </w:t>
      </w:r>
      <w:r>
        <w:t xml:space="preserve">l’objet d’aucun champ dédié.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ce qui rend les désistements de</w:t>
      </w:r>
      <w:r>
        <w:t xml:space="preserve"> </w:t>
      </w:r>
      <w:r>
        <w:t xml:space="preserve">cette agence inanalysables tant que la saisie n’est pas fiabilisée. Ce constat n’est pas un</w:t>
      </w:r>
      <w:r>
        <w:t xml:space="preserve"> </w:t>
      </w:r>
      <w:r>
        <w:t xml:space="preserve">résultat d’analyse au sens strict, mais c’est une information directement actionnable, et</w:t>
      </w:r>
      <w:r>
        <w:t xml:space="preserve"> </w:t>
      </w:r>
      <w:r>
        <w:t xml:space="preserve">elle n’aurait pas été visible sans ce travail.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Le résultat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ce qui constitue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recommandations qui terminent le chapitre 2, historiser les exports mensuels et fiabiliser</w:t>
      </w:r>
      <w:r>
        <w:t xml:space="preserve"> </w:t>
      </w:r>
      <w:r>
        <w:t xml:space="preserve">la saisie des motifs de désistement, sont exactement de la même nature que le travail</w:t>
      </w:r>
      <w:r>
        <w:t xml:space="preserve"> </w:t>
      </w:r>
      <w:r>
        <w:t xml:space="preserve">décrit 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utilisée par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Ce sont des décisions modestes en apparence, invisibles dans le résultat final, et</w:t>
      </w:r>
      <w:r>
        <w:t xml:space="preserve"> </w:t>
      </w:r>
      <w:r>
        <w:t xml:space="preserve">pourtant ce sont elles qui déterminent si le résultat vaut quelque chose. Le métier de</w:t>
      </w:r>
      <w:r>
        <w:t xml:space="preserve"> </w:t>
      </w:r>
      <w:r>
        <w:t xml:space="preserve">gestionnaire d’information, tel que je l’ai pratiqué cette année, consiste largement à</w:t>
      </w:r>
      <w:r>
        <w:t xml:space="preserve"> </w:t>
      </w:r>
      <w:r>
        <w:t xml:space="preserve">prendre ces décisions-là, à les écrire, et à les rendre vérifiables 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2026-08-17T21:33:08Z</dcterms:created>
  <dcterms:modified xsi:type="dcterms:W3CDTF">2026-08-17T21:33:08Z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