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J’y expose d’abord le</w:t>
      </w:r>
      <w:r>
        <w:t xml:space="preserve"> </w:t>
      </w:r>
      <w:r>
        <w:t xml:space="preserve">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Chaque contrôleur de gestion connaît très bien les</w:t>
      </w:r>
      <w:r>
        <w:t xml:space="preserve"> </w:t>
      </w:r>
      <w:r>
        <w:t xml:space="preserve">dossiers dont il a la charge ; personne ne dispose d’une vue d’ensemble permettant de dire,</w:t>
      </w:r>
      <w:r>
        <w:t xml:space="preserve"> </w:t>
      </w:r>
      <w:r>
        <w:t xml:space="preserve">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En échangeant avec la direction financière, j’ai identifié trois questions qui structurent</w:t>
      </w:r>
      <w:r>
        <w:t xml:space="preserve"> </w:t>
      </w:r>
      <w:r>
        <w:t xml:space="preserve">les revues de gestion et auxquelles les tableurs actuels ne répondent 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1,1 % à un pic de 3,6 % fin 2023, avant</w:t>
      </w:r>
      <w:r>
        <w:t xml:space="preserve"> </w:t>
      </w:r>
      <w:r>
        <w:t xml:space="preserve">de refluer vers 3,1 %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 ? La question n’est</w:t>
      </w:r>
      <w:r>
        <w:t xml:space="preserve"> </w:t>
      </w:r>
      <w:r>
        <w:t xml:space="preserve">pas théorique, puisque 45 %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</w:t>
      </w:r>
      <w:r>
        <w:t xml:space="preserve"> </w:t>
      </w:r>
      <w:r>
        <w:t xml:space="preserve">Le matériau disponible se résume à 267 opérations et quatre exports Excel, soit une</w:t>
      </w:r>
      <w:r>
        <w:t xml:space="preserve"> </w:t>
      </w:r>
      <w:r>
        <w:t xml:space="preserve">photographie à date.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 la</w:t>
      </w:r>
      <w:r>
        <w:t xml:space="preserve"> </w:t>
      </w:r>
      <w:r>
        <w:t xml:space="preserve">situation inverse de celle que décrit mon mémoire de mi-parcours, où la règle de gestion,</w:t>
      </w:r>
      <w:r>
        <w:t xml:space="preserve"> </w:t>
      </w:r>
      <w:r>
        <w:t xml:space="preserve">ne pouvant être écrite nulle part, devait être recalculée à chaque génération du 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interdisait</w:t>
      </w:r>
      <w:r>
        <w:t xml:space="preserve"> </w:t>
      </w:r>
      <w:r>
        <w:t xml:space="preserve">d’appliquer telle quelle une régression linéaire.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aboutit à une</w:t>
      </w:r>
      <w:r>
        <w:t xml:space="preserve"> </w:t>
      </w:r>
      <w:r>
        <w:t xml:space="preserve">conclusion négative, et c’est en cela qu’il est utile.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2.3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 committée » sur les 123 opérations du périmètre, et seuil de dérive matérielle à -2 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« committée 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 Alertes marge 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2 %,</w:t>
      </w:r>
      <w:r>
        <w:t xml:space="preserve"> </w:t>
      </w:r>
      <w:r>
        <w:t xml:space="preserve">atteint un score F1 de l’ordre de 0,30 à 0,34 en validation 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classiques, la régression logistique, le séparateur à vaste marge, l’arbre de</w:t>
      </w:r>
      <w:r>
        <w:t xml:space="preserve"> </w:t>
      </w:r>
      <w:r>
        <w:t xml:space="preserve">décision et la forêt aléatoire ; à 123 observations, leurs écarts de performance ne sont</w:t>
      </w:r>
      <w:r>
        <w:t xml:space="preserve"> </w:t>
      </w:r>
      <w:r>
        <w:t xml:space="preserve">pas significatifs, et le choix s’est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la</w:t>
      </w:r>
      <w:r>
        <w:t xml:space="preserve"> </w:t>
      </w:r>
      <w:r>
        <w:t xml:space="preserve">localisation, le produit et le prix pèsent davantage que le contexte macroéconomique.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Repricer le stock suppose d’abord de savoir à quel prix chaque lot devrait se vendre. Le</w:t>
      </w:r>
      <w:r>
        <w:t xml:space="preserve"> </w:t>
      </w:r>
      <w:r>
        <w:t xml:space="preserve">modèle que j’ai construit pour répondre à cette question est volontairement le plus simple</w:t>
      </w:r>
      <w:r>
        <w:t xml:space="preserve"> </w:t>
      </w:r>
      <w:r>
        <w:t xml:space="preserve">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vides. Et</w:t>
      </w:r>
      <w:r>
        <w:t xml:space="preserve"> </w:t>
      </w:r>
      <w:r>
        <w:t xml:space="preserve">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opérations. Il est intéressant de noter que la frontière entre les deux</w:t>
      </w:r>
      <w:r>
        <w:t xml:space="preserve"> </w:t>
      </w:r>
      <w:r>
        <w:t xml:space="preserve">activités ressort d’elle-même dès l’analyse exploratoire, constituant une validation</w:t>
      </w:r>
      <w:r>
        <w:t xml:space="preserve"> </w:t>
      </w:r>
      <w:r>
        <w:t xml:space="preserve">involontaire du choix de périmètre demandé par 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deux recommandations de ce chapitre, historiser les exports mensuels et fiabiliser la</w:t>
      </w:r>
      <w:r>
        <w:t xml:space="preserve"> </w:t>
      </w:r>
      <w:r>
        <w:t xml:space="preserve">saisie des motifs de désistement, sont exactement de la même nature que le travail décrit</w:t>
      </w:r>
      <w:r>
        <w:t xml:space="preserve"> </w:t>
      </w:r>
      <w:r>
        <w:t xml:space="preserve">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vers SPO, ses dépendances</w:t>
      </w:r>
      <w:r>
        <w:t xml:space="preserve"> </w:t>
      </w:r>
      <w:r>
        <w:t xml:space="preserve">hiérarchiques, ses identifiants dynamiques et sa stratégie de déploiement en coquilles</w:t>
      </w:r>
      <w:r>
        <w:t xml:space="preserve"> </w:t>
      </w:r>
      <w:r>
        <w:t xml:space="preserve">vides. La reprise des tiers, exposée au chapitre 1, en a été le prolongement direct et,</w:t>
      </w:r>
      <w:r>
        <w:t xml:space="preserve"> </w:t>
      </w:r>
      <w:r>
        <w:t xml:space="preserve">d’une certaine manière, l’aboutissement, puisqu’elle a achevé de constituer le socle</w:t>
      </w:r>
      <w:r>
        <w:t xml:space="preserve"> </w:t>
      </w:r>
      <w:r>
        <w:t xml:space="preserve">commercial du nouvel outil. Le second semestre a été celui de la valorisation, avec un</w:t>
      </w:r>
      <w:r>
        <w:t xml:space="preserve"> </w:t>
      </w:r>
      <w:r>
        <w:t xml:space="preserve">projet de Data Science mené de bout en bout, de la compréhension des exports jusqu’à une</w:t>
      </w:r>
      <w:r>
        <w:t xml:space="preserve"> </w:t>
      </w:r>
      <w:r>
        <w:t xml:space="preserve">application destinée à la 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Le métier de gestionnaire d’information, tel que je l’ai pratiqué cette année,</w:t>
      </w:r>
      <w:r>
        <w:t xml:space="preserve"> </w:t>
      </w:r>
      <w:r>
        <w:t xml:space="preserve">consiste largement à prendre ces décisions-là, à les écrire, et à les rendre vérifiables</w:t>
      </w:r>
      <w:r>
        <w:t xml:space="preserve"> </w:t>
      </w:r>
      <w:r>
        <w:t xml:space="preserve">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Mais les deux</w:t>
      </w:r>
      <w:r>
        <w:t xml:space="preserve"> </w:t>
      </w:r>
      <w:r>
        <w:t xml:space="preserve">chantiers avancent désormais dans le même sens, et c’est cette convergence entre la</w:t>
      </w:r>
      <w:r>
        <w:t xml:space="preserve"> </w:t>
      </w:r>
      <w:r>
        <w:t xml:space="preserve">structuration technique des données et leur valorisation statistique qui aura constitué le</w:t>
      </w:r>
      <w:r>
        <w:t xml:space="preserve"> </w:t>
      </w:r>
      <w:r>
        <w:t xml:space="preserve">fil conducteur de mon année de Master 2.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2026-08-18T07:33:41Z</dcterms:created>
  <dcterms:modified xsi:type="dcterms:W3CDTF">2026-08-18T07:33:41Z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