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3.png" ContentType="image/png"/>
  <Override PartName="/word/media/rId37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</w:t>
      </w:r>
      <w:r>
        <w:t xml:space="preserve"> </w:t>
      </w:r>
      <w:r>
        <w:t xml:space="preserve">migration</w:t>
      </w:r>
      <w:r>
        <w:t xml:space="preserve"> </w:t>
      </w:r>
      <w:r>
        <w:t xml:space="preserve">des</w:t>
      </w:r>
      <w:r>
        <w:t xml:space="preserve"> </w:t>
      </w:r>
      <w:r>
        <w:t xml:space="preserve">tiers</w:t>
      </w:r>
      <w:r>
        <w:t xml:space="preserve"> </w:t>
      </w:r>
      <w:r>
        <w:t xml:space="preserve">vers</w:t>
      </w:r>
      <w:r>
        <w:t xml:space="preserve"> </w:t>
      </w:r>
      <w:r>
        <w:t xml:space="preserve">SPO</w:t>
      </w:r>
    </w:p>
    <w:p>
      <w:pPr>
        <w:pStyle w:val="Author"/>
      </w:pPr>
      <w:r>
        <w:t xml:space="preserve">Yasmina</w:t>
      </w:r>
      <w:r>
        <w:t xml:space="preserve"> </w:t>
      </w:r>
      <w:r>
        <w:t xml:space="preserve">Saoud</w:t>
      </w:r>
    </w:p>
    <w:bookmarkStart w:id="50" w:name="la-migration-des-tiers-vers-spo"/>
    <w:p>
      <w:pPr>
        <w:pStyle w:val="Heading1"/>
      </w:pPr>
      <w:r>
        <w:t xml:space="preserve">1 La migration des tiers vers SPO</w:t>
      </w:r>
    </w:p>
    <w:p>
      <w:pPr>
        <w:pStyle w:val="FirstParagraph"/>
      </w:pPr>
      <w:r>
        <w:rPr>
          <w:bCs/>
          <w:b/>
        </w:rPr>
        <w:t xml:space="preserve">Sommaire</w:t>
      </w:r>
    </w:p>
    <w:p>
      <w:pPr>
        <w:numPr>
          <w:ilvl w:val="0"/>
          <w:numId w:val="1001"/>
        </w:numPr>
        <w:pStyle w:val="Compact"/>
      </w:pPr>
      <w:r>
        <w:t xml:space="preserve">1.1 Contexte et enjeux de la reprise des tiers</w:t>
      </w:r>
    </w:p>
    <w:p>
      <w:pPr>
        <w:numPr>
          <w:ilvl w:val="1"/>
          <w:numId w:val="1002"/>
        </w:numPr>
        <w:pStyle w:val="Compact"/>
      </w:pPr>
      <w:r>
        <w:t xml:space="preserve">1.1.1 Du CRM Vadimm à l’ERP SPO : le périmètre des données clients</w:t>
      </w:r>
    </w:p>
    <w:p>
      <w:pPr>
        <w:numPr>
          <w:ilvl w:val="1"/>
          <w:numId w:val="1002"/>
        </w:numPr>
        <w:pStyle w:val="Compact"/>
      </w:pPr>
      <w:r>
        <w:t xml:space="preserve">1.1.2 L’enjeu central : créer sans dupliquer</w:t>
      </w:r>
    </w:p>
    <w:p>
      <w:pPr>
        <w:numPr>
          <w:ilvl w:val="0"/>
          <w:numId w:val="1001"/>
        </w:numPr>
        <w:pStyle w:val="Compact"/>
      </w:pPr>
      <w:r>
        <w:t xml:space="preserve">1.2 Conception du fichier de travail : une chaîne de traitement pilotée par formules</w:t>
      </w:r>
    </w:p>
    <w:p>
      <w:pPr>
        <w:numPr>
          <w:ilvl w:val="1"/>
          <w:numId w:val="1003"/>
        </w:numPr>
        <w:pStyle w:val="Compact"/>
      </w:pPr>
      <w:r>
        <w:t xml:space="preserve">1.2.1 Une architecture en trois temps : sources, feuille pivot, feuilles de sortie</w:t>
      </w:r>
    </w:p>
    <w:p>
      <w:pPr>
        <w:numPr>
          <w:ilvl w:val="1"/>
          <w:numId w:val="1003"/>
        </w:numPr>
        <w:pStyle w:val="Compact"/>
      </w:pPr>
      <w:r>
        <w:t xml:space="preserve">1.2.2 Le modèle de données des tiers dans SPO : couples, personnes physiques, personnes morales</w:t>
      </w:r>
    </w:p>
    <w:p>
      <w:pPr>
        <w:numPr>
          <w:ilvl w:val="0"/>
          <w:numId w:val="1001"/>
        </w:numPr>
        <w:pStyle w:val="Compact"/>
      </w:pPr>
      <w:r>
        <w:t xml:space="preserve">1.3 Les trois mécanismes algorithmiques</w:t>
      </w:r>
    </w:p>
    <w:p>
      <w:pPr>
        <w:numPr>
          <w:ilvl w:val="1"/>
          <w:numId w:val="1004"/>
        </w:numPr>
        <w:pStyle w:val="Compact"/>
      </w:pPr>
      <w:r>
        <w:t xml:space="preserve">1.3.1 La déduplication par clés d’unicité différenciées selon la nature du tiers</w:t>
      </w:r>
    </w:p>
    <w:p>
      <w:pPr>
        <w:numPr>
          <w:ilvl w:val="1"/>
          <w:numId w:val="1004"/>
        </w:numPr>
        <w:pStyle w:val="Compact"/>
      </w:pPr>
      <w:r>
        <w:t xml:space="preserve">1.3.2 L’exclusion des tiers déjà présents dans SPO</w:t>
      </w:r>
    </w:p>
    <w:p>
      <w:pPr>
        <w:numPr>
          <w:ilvl w:val="1"/>
          <w:numId w:val="1004"/>
        </w:numPr>
        <w:pStyle w:val="Compact"/>
      </w:pPr>
      <w:r>
        <w:t xml:space="preserve">1.3.3 La propagation vers les feuilles de sortie par numérotation séquentielle</w:t>
      </w:r>
    </w:p>
    <w:p>
      <w:pPr>
        <w:numPr>
          <w:ilvl w:val="0"/>
          <w:numId w:val="1001"/>
        </w:numPr>
        <w:pStyle w:val="Compact"/>
      </w:pPr>
      <w:r>
        <w:t xml:space="preserve">1.4 De la préparation à l’injection : procédure et contraintes techniques</w:t>
      </w:r>
    </w:p>
    <w:p>
      <w:pPr>
        <w:numPr>
          <w:ilvl w:val="1"/>
          <w:numId w:val="1005"/>
        </w:numPr>
        <w:pStyle w:val="Compact"/>
      </w:pPr>
      <w:r>
        <w:t xml:space="preserve">1.4.1 Génération et normalisation des fichiers d’import</w:t>
      </w:r>
    </w:p>
    <w:p>
      <w:pPr>
        <w:numPr>
          <w:ilvl w:val="1"/>
          <w:numId w:val="1005"/>
        </w:numPr>
        <w:pStyle w:val="Compact"/>
      </w:pPr>
      <w:r>
        <w:t xml:space="preserve">1.4.2 Le contournement par API : 872 requêtes PATCH pour les coordonnées des couples</w:t>
      </w:r>
    </w:p>
    <w:p>
      <w:pPr>
        <w:numPr>
          <w:ilvl w:val="0"/>
          <w:numId w:val="1001"/>
        </w:numPr>
        <w:pStyle w:val="Compact"/>
      </w:pPr>
      <w:r>
        <w:t xml:space="preserve">1.5 Traitement des cas particuliers et arbitrages</w:t>
      </w:r>
    </w:p>
    <w:p>
      <w:pPr>
        <w:numPr>
          <w:ilvl w:val="0"/>
          <w:numId w:val="1001"/>
        </w:numPr>
        <w:pStyle w:val="Compact"/>
      </w:pPr>
      <w:r>
        <w:t xml:space="preserve">1.6 Bilan de l’import et points de vigilance pour la suite</w:t>
      </w:r>
    </w:p>
    <w:p>
      <w:pPr>
        <w:pStyle w:val="FirstParagraph"/>
      </w:pPr>
      <w:r>
        <w:t xml:space="preserve">Ce chapitre détaille la reprise des tiers, c’est-à-dire des clients acquéreurs, depuis</w:t>
      </w:r>
      <w:r>
        <w:t xml:space="preserve"> </w:t>
      </w:r>
      <w:r>
        <w:t xml:space="preserve">notre CRM Vadimm vers le nouvel ERP du groupe, SPO. Cette mission prolonge</w:t>
      </w:r>
      <w:r>
        <w:t xml:space="preserve"> </w:t>
      </w:r>
      <w:r>
        <w:t xml:space="preserve">directement le chantier de migration exposé dans mon mémoire de mi-parcours, mais elle en</w:t>
      </w:r>
      <w:r>
        <w:t xml:space="preserve"> </w:t>
      </w:r>
      <w:r>
        <w:t xml:space="preserve">change la nature : il ne s’agissait plus d’injecter des structures de gestion, opérations,</w:t>
      </w:r>
      <w:r>
        <w:t xml:space="preserve"> </w:t>
      </w:r>
      <w:r>
        <w:t xml:space="preserve">tranches et budgets, mais des personnes, avec ce que cela implique de risques de doublons</w:t>
      </w:r>
      <w:r>
        <w:t xml:space="preserve"> </w:t>
      </w:r>
      <w:r>
        <w:t xml:space="preserve">et d’exigence de qualité. J’y expose la conception du fichier de travail que j’ai construit</w:t>
      </w:r>
      <w:r>
        <w:t xml:space="preserve"> </w:t>
      </w:r>
      <w:r>
        <w:t xml:space="preserve">pour industrialiser cette reprise, les trois mécanismes algorithmiques sur lesquels il</w:t>
      </w:r>
      <w:r>
        <w:t xml:space="preserve"> </w:t>
      </w:r>
      <w:r>
        <w:t xml:space="preserve">repose, les contraintes techniques du format d’import de SPO et la manière dont je les ai</w:t>
      </w:r>
      <w:r>
        <w:t xml:space="preserve"> </w:t>
      </w:r>
      <w:r>
        <w:t xml:space="preserve">contournées, puis le bilan de l’import et les enseignements que j’en retire.</w:t>
      </w:r>
    </w:p>
    <w:bookmarkStart w:id="22" w:name="Xe361138e07d16e5763359e117cee853978abd72"/>
    <w:p>
      <w:pPr>
        <w:pStyle w:val="Heading2"/>
      </w:pPr>
      <w:r>
        <w:t xml:space="preserve">1.1 Contexte et enjeux de la reprise des tiers</w:t>
      </w:r>
    </w:p>
    <w:bookmarkStart w:id="20" w:name="X51dd8a6350dcc959e6f14a0876a7e4c29aa0282"/>
    <w:p>
      <w:pPr>
        <w:pStyle w:val="Heading3"/>
      </w:pPr>
      <w:r>
        <w:t xml:space="preserve">1.1.1 Du CRM Vadimm à l’ERP SPO : le périmètre des données clients</w:t>
      </w:r>
    </w:p>
    <w:p>
      <w:pPr>
        <w:pStyle w:val="FirstParagraph"/>
      </w:pPr>
      <w:r>
        <w:t xml:space="preserve">Le remplacement de l’ERP historique du groupe par SPO, décrit dans mon mémoire de</w:t>
      </w:r>
      <w:r>
        <w:t xml:space="preserve"> </w:t>
      </w:r>
      <w:r>
        <w:t xml:space="preserve">mi-parcours, s’est fait par lots successifs. Après la création des opérations</w:t>
      </w:r>
      <w:r>
        <w:t xml:space="preserve"> </w:t>
      </w:r>
      <w:r>
        <w:t xml:space="preserve">immobilières et de leurs tranches, il restait à reprendre les données commerciales, et en</w:t>
      </w:r>
      <w:r>
        <w:t xml:space="preserve"> </w:t>
      </w:r>
      <w:r>
        <w:t xml:space="preserve">premier lieu les clients. Dans SPO (Suivi des Programmes Opérationnels), ces clients sont</w:t>
      </w:r>
      <w:r>
        <w:t xml:space="preserve"> </w:t>
      </w:r>
      <w:r>
        <w:t xml:space="preserve">désignés par le terme générique de</w:t>
      </w:r>
      <w:r>
        <w:t xml:space="preserve"> </w:t>
      </w:r>
      <w:r>
        <w:rPr>
          <w:iCs/>
          <w:i/>
        </w:rPr>
        <w:t xml:space="preserve">tiers</w:t>
      </w:r>
      <w:r>
        <w:t xml:space="preserve"> </w:t>
      </w:r>
      <w:r>
        <w:t xml:space="preserve">: la même entité de base sert à représenter un</w:t>
      </w:r>
      <w:r>
        <w:t xml:space="preserve"> </w:t>
      </w:r>
      <w:r>
        <w:t xml:space="preserve">acquéreur particulier comme une société, et se voit ensuite attribuer un ou plusieurs</w:t>
      </w:r>
      <w:r>
        <w:t xml:space="preserve"> </w:t>
      </w:r>
      <w:r>
        <w:t xml:space="preserve">rôles. Reprendre les tiers signifiait donc alimenter le socle sur lequel toute la gestion</w:t>
      </w:r>
      <w:r>
        <w:t xml:space="preserve"> </w:t>
      </w:r>
      <w:r>
        <w:t xml:space="preserve">commerciale allait s’appuyer.</w:t>
      </w:r>
    </w:p>
    <w:p>
      <w:pPr>
        <w:pStyle w:val="BodyText"/>
      </w:pPr>
      <w:r>
        <w:t xml:space="preserve">Le périmètre m’a été fixé de la manière suivante : importer dans SPO l’ensemble des clients</w:t>
      </w:r>
      <w:r>
        <w:t xml:space="preserve"> </w:t>
      </w:r>
      <w:r>
        <w:t xml:space="preserve">ayant déjà acheté un bien chez Angelotti. La matière première provenait de notre CRM</w:t>
      </w:r>
      <w:r>
        <w:t xml:space="preserve"> </w:t>
      </w:r>
      <w:r>
        <w:t xml:space="preserve">(</w:t>
      </w:r>
      <w:r>
        <w:rPr>
          <w:iCs/>
          <w:i/>
        </w:rPr>
        <w:t xml:space="preserve">Customer Relationship Management</w:t>
      </w:r>
      <w:r>
        <w:t xml:space="preserve">, l’outil de gestion de la relation client) Vadimm, sous</w:t>
      </w:r>
      <w:r>
        <w:t xml:space="preserve"> </w:t>
      </w:r>
      <w:r>
        <w:t xml:space="preserve">la forme de deux extractions complémentaires : celle des ventes enregistrées, qui porte</w:t>
      </w:r>
      <w:r>
        <w:t xml:space="preserve"> </w:t>
      </w:r>
      <w:r>
        <w:t xml:space="preserve">1 557 lignes, et celle des coordonnées de contact des acquéreurs et de leurs co-acquéreurs,</w:t>
      </w:r>
      <w:r>
        <w:t xml:space="preserve"> </w:t>
      </w:r>
      <w:r>
        <w:t xml:space="preserve">qui en porte 1 602. Le périmètre de travail ainsi constitué compte</w:t>
      </w:r>
      <w:r>
        <w:t xml:space="preserve"> </w:t>
      </w:r>
      <w:r>
        <w:rPr>
          <w:bCs/>
          <w:b/>
        </w:rPr>
        <w:t xml:space="preserve">1 602 lignes</w:t>
      </w:r>
      <w:r>
        <w:t xml:space="preserve">, et</w:t>
      </w:r>
      <w:r>
        <w:t xml:space="preserve"> </w:t>
      </w:r>
      <w:r>
        <w:t xml:space="preserve">c’est de ce total que part toute la chaîne de traitement.</w:t>
      </w:r>
    </w:p>
    <w:p>
      <w:pPr>
        <w:pStyle w:val="BodyText"/>
      </w:pPr>
      <w:r>
        <w:t xml:space="preserve">La difficulté ne tenait pas au volume, comparable à celui des 283 opérations du périmètre</w:t>
      </w:r>
      <w:r>
        <w:t xml:space="preserve"> </w:t>
      </w:r>
      <w:r>
        <w:t xml:space="preserve">de migration engagé au premier semestre. Elle tenait à la nature même de la donnée. Concrètement, une</w:t>
      </w:r>
      <w:r>
        <w:t xml:space="preserve"> </w:t>
      </w:r>
      <w:r>
        <w:t xml:space="preserve">ligne de l’extraction Vadimm ne décrit pas un client, elle décrit une vente. Un même</w:t>
      </w:r>
      <w:r>
        <w:t xml:space="preserve"> </w:t>
      </w:r>
      <w:r>
        <w:t xml:space="preserve">acquéreur qui a acheté trois lots apparaît donc trois fois, et rien dans le fichier ne le</w:t>
      </w:r>
      <w:r>
        <w:t xml:space="preserve"> </w:t>
      </w:r>
      <w:r>
        <w:t xml:space="preserve">signale.</w:t>
      </w:r>
      <w:r>
        <w:t xml:space="preserve"> </w:t>
      </w:r>
      <w:r>
        <w:t xml:space="preserve">Transformer un fichier de ventes en un référentiel de personnes suppose de reconstituer</w:t>
      </w:r>
      <w:r>
        <w:t xml:space="preserve"> </w:t>
      </w:r>
      <w:r>
        <w:t xml:space="preserve">l’identité de chacune, ce que le système source ne faisait pas à ma place.</w:t>
      </w:r>
    </w:p>
    <w:bookmarkEnd w:id="20"/>
    <w:bookmarkStart w:id="21" w:name="lenjeu-central-créer-sans-dupliquer"/>
    <w:p>
      <w:pPr>
        <w:pStyle w:val="Heading3"/>
      </w:pPr>
      <w:r>
        <w:t xml:space="preserve">1.1.2 L’enjeu central : créer sans dupliquer</w:t>
      </w:r>
    </w:p>
    <w:p>
      <w:pPr>
        <w:pStyle w:val="FirstParagraph"/>
      </w:pPr>
      <w:r>
        <w:t xml:space="preserve">L’enjeu de cette reprise se résume à une contrainte simple à énoncer et difficile à tenir :</w:t>
      </w:r>
      <w:r>
        <w:t xml:space="preserve"> </w:t>
      </w:r>
      <w:r>
        <w:t xml:space="preserve">créer chaque client une fois et une seule. Deux sources de duplication se cumulaient, et</w:t>
      </w:r>
      <w:r>
        <w:t xml:space="preserve"> </w:t>
      </w:r>
      <w:r>
        <w:t xml:space="preserve">elles n’appelaient pas la même parade.</w:t>
      </w:r>
    </w:p>
    <w:p>
      <w:pPr>
        <w:pStyle w:val="BodyText"/>
      </w:pPr>
      <w:r>
        <w:t xml:space="preserve">La première est interne au fichier. Comme chaque ligne correspond à une vente, un client</w:t>
      </w:r>
      <w:r>
        <w:t xml:space="preserve"> </w:t>
      </w:r>
      <w:r>
        <w:t xml:space="preserve">fidèle est présent autant de fois qu’il a acheté. Importer le fichier tel quel aurait créé</w:t>
      </w:r>
      <w:r>
        <w:t xml:space="preserve"> </w:t>
      </w:r>
      <w:r>
        <w:t xml:space="preserve">autant de fiches que d’achats, avec des conséquences directes sur la gestion : un même</w:t>
      </w:r>
      <w:r>
        <w:t xml:space="preserve"> </w:t>
      </w:r>
      <w:r>
        <w:t xml:space="preserve">acquéreur aurait été rattaché à plusieurs identifiants, et il serait devenu impossible de</w:t>
      </w:r>
      <w:r>
        <w:t xml:space="preserve"> </w:t>
      </w:r>
      <w:r>
        <w:t xml:space="preserve">reconstituer son historique ou de lui adresser un courrier unique.</w:t>
      </w:r>
    </w:p>
    <w:p>
      <w:pPr>
        <w:pStyle w:val="BodyText"/>
      </w:pPr>
      <w:r>
        <w:t xml:space="preserve">La seconde est externe. Au moment de préparer l’import, SPO n’était pas vide : environ</w:t>
      </w:r>
      <w:r>
        <w:t xml:space="preserve"> </w:t>
      </w:r>
      <w:r>
        <w:t xml:space="preserve">13 000 tiers y avaient déjà été créés, par saisie ou par d’autres canaux d’alimentation.</w:t>
      </w:r>
      <w:r>
        <w:t xml:space="preserve"> </w:t>
      </w:r>
      <w:r>
        <w:t xml:space="preserve">Injecter ces 1 602 lignes sans les confronter à cet existant aurait produit des doublons</w:t>
      </w:r>
      <w:r>
        <w:t xml:space="preserve"> </w:t>
      </w:r>
      <w:r>
        <w:t xml:space="preserve">d’une autre nature, plus insidieux parce qu’ils auraient opposé une fiche importée et une</w:t>
      </w:r>
      <w:r>
        <w:t xml:space="preserve"> </w:t>
      </w:r>
      <w:r>
        <w:t xml:space="preserve">fiche saisie, toutes deux légitimes en apparence.</w:t>
      </w:r>
    </w:p>
    <w:p>
      <w:pPr>
        <w:pStyle w:val="BodyText"/>
      </w:pPr>
      <w:r>
        <w:t xml:space="preserve">Face à cette double contrainte, une reprise manuelle était exclue. Vérifier ligne à ligne</w:t>
      </w:r>
      <w:r>
        <w:t xml:space="preserve"> </w:t>
      </w:r>
      <w:r>
        <w:t xml:space="preserve">qu’un acquéreur n’existe ni ailleurs dans le fichier ni déjà dans un référentiel de 13 000</w:t>
      </w:r>
      <w:r>
        <w:t xml:space="preserve"> </w:t>
      </w:r>
      <w:r>
        <w:t xml:space="preserve">tiers représentait un volume de contrôles incompatible avec les délais, et surtout un</w:t>
      </w:r>
      <w:r>
        <w:t xml:space="preserve"> </w:t>
      </w:r>
      <w:r>
        <w:t xml:space="preserve">risque d’erreur humaine que rien n’aurait permis de tracer ensuite. J’ai donc fait le choix</w:t>
      </w:r>
      <w:r>
        <w:t xml:space="preserve"> </w:t>
      </w:r>
      <w:r>
        <w:t xml:space="preserve">de construire un fichier de travail qui automatise entièrement ces contrôles par formules,</w:t>
      </w:r>
      <w:r>
        <w:t xml:space="preserve"> </w:t>
      </w:r>
      <w:r>
        <w:t xml:space="preserve">de sorte que la décision d’importer ou non une ligne soit calculée et non prise au cas par</w:t>
      </w:r>
      <w:r>
        <w:t xml:space="preserve"> </w:t>
      </w:r>
      <w:r>
        <w:t xml:space="preserve">cas.</w:t>
      </w:r>
    </w:p>
    <w:bookmarkEnd w:id="21"/>
    <w:bookmarkEnd w:id="22"/>
    <w:bookmarkStart w:id="31" w:name="X874fc18de8a1eecd350e55b90219d3d5272c81c"/>
    <w:p>
      <w:pPr>
        <w:pStyle w:val="Heading2"/>
      </w:pPr>
      <w:r>
        <w:t xml:space="preserve">1.2 Conception du fichier de travail : une chaîne de traitement pilotée par formules</w:t>
      </w:r>
    </w:p>
    <w:bookmarkStart w:id="26" w:name="Xb36129c71efebcaf52db8a3f0db2a59757cf358"/>
    <w:p>
      <w:pPr>
        <w:pStyle w:val="Heading3"/>
      </w:pPr>
      <w:r>
        <w:t xml:space="preserve">1.2.1 Une architecture en trois temps : sources, feuille pivot, feuilles de sortie</w:t>
      </w:r>
    </w:p>
    <w:p>
      <w:pPr>
        <w:pStyle w:val="FirstParagraph"/>
      </w:pPr>
      <w:r>
        <w:t xml:space="preserve">Le fichier que j’ai conçu ne se présente pas comme un tableur de saisie mais comme une</w:t>
      </w:r>
      <w:r>
        <w:t xml:space="preserve"> </w:t>
      </w:r>
      <w:r>
        <w:t xml:space="preserve">chaîne de traitement automatique, dans la lignée des maquettes d’injection que j’avais</w:t>
      </w:r>
      <w:r>
        <w:t xml:space="preserve"> </w:t>
      </w:r>
      <w:r>
        <w:t xml:space="preserve">construites au premier semestre. Les données entrent d’un côté sous leur forme brute et</w:t>
      </w:r>
      <w:r>
        <w:t xml:space="preserve"> </w:t>
      </w:r>
      <w:r>
        <w:t xml:space="preserve">ressortent de l’autre sous la forme exacte attendue par SPO, sans qu’aucune donnée soit</w:t>
      </w:r>
      <w:r>
        <w:t xml:space="preserve"> </w:t>
      </w:r>
      <w:r>
        <w:t xml:space="preserve">recopiée à la main entre les deux. Cette architecture se décompose en trois étages, que</w:t>
      </w:r>
      <w:r>
        <w:t xml:space="preserve"> </w:t>
      </w:r>
      <w:r>
        <w:t xml:space="preserve">présente la Figure 1.1.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Les feuilles sources</w:t>
      </w:r>
      <w:r>
        <w:t xml:space="preserve"> </w:t>
      </w:r>
      <w:r>
        <w:t xml:space="preserve">: trois feuilles en lecture seule qui reçoivent les extractions</w:t>
      </w:r>
      <w:r>
        <w:t xml:space="preserve"> </w:t>
      </w:r>
      <w:r>
        <w:t xml:space="preserve">telles quelles. La feuille</w:t>
      </w:r>
      <w:r>
        <w:t xml:space="preserve"> </w:t>
      </w:r>
      <w:r>
        <w:rPr>
          <w:rStyle w:val="VerbatimChar"/>
        </w:rPr>
        <w:t xml:space="preserve">VADIMM</w:t>
      </w:r>
      <w:r>
        <w:t xml:space="preserve"> </w:t>
      </w:r>
      <w:r>
        <w:t xml:space="preserve">porte les 1 557 lignes de ventes reprises du CRM, la</w:t>
      </w:r>
      <w:r>
        <w:t xml:space="preserve"> </w:t>
      </w:r>
      <w:r>
        <w:t xml:space="preserve">feuille</w:t>
      </w:r>
      <w:r>
        <w:t xml:space="preserve"> </w:t>
      </w:r>
      <w:r>
        <w:rPr>
          <w:rStyle w:val="VerbatimChar"/>
        </w:rPr>
        <w:t xml:space="preserve">Builder coordonnée</w:t>
      </w:r>
      <w:r>
        <w:t xml:space="preserve"> </w:t>
      </w:r>
      <w:r>
        <w:t xml:space="preserve">les 1 602 lignes de coordonnées des acquéreurs et</w:t>
      </w:r>
      <w:r>
        <w:t xml:space="preserve"> </w:t>
      </w:r>
      <w:r>
        <w:t xml:space="preserve">co-acquéreurs, et la feuille</w:t>
      </w:r>
      <w:r>
        <w:t xml:space="preserve"> </w:t>
      </w:r>
      <w:r>
        <w:rPr>
          <w:rStyle w:val="VerbatimChar"/>
        </w:rPr>
        <w:t xml:space="preserve">SPO</w:t>
      </w:r>
      <w:r>
        <w:t xml:space="preserve"> </w:t>
      </w:r>
      <w:r>
        <w:t xml:space="preserve">l’extraction des tiers déjà existants dans l’ERP, qui</w:t>
      </w:r>
      <w:r>
        <w:t xml:space="preserve"> </w:t>
      </w:r>
      <w:r>
        <w:t xml:space="preserve">sert de référentiel de comparaison.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La feuille pivot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BuilderTiers</w:t>
      </w:r>
      <w:r>
        <w:t xml:space="preserve"> </w:t>
      </w:r>
      <w:r>
        <w:t xml:space="preserve">: c’est le cœur du dispositif. Elle reçoit</w:t>
      </w:r>
      <w:r>
        <w:t xml:space="preserve"> </w:t>
      </w:r>
      <w:r>
        <w:t xml:space="preserve">l’intégralité des lignes issues des sources et y adjoint les colonnes de calcul qui</w:t>
      </w:r>
      <w:r>
        <w:t xml:space="preserve"> </w:t>
      </w:r>
      <w:r>
        <w:t xml:space="preserve">déterminent, pour chaque ligne, si elle correspond à un tiers nouveau, à un doublon</w:t>
      </w:r>
      <w:r>
        <w:t xml:space="preserve"> </w:t>
      </w:r>
      <w:r>
        <w:t xml:space="preserve">interne ou à un tiers déjà présent dans SPO.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Les six feuilles de sortie</w:t>
      </w:r>
      <w:r>
        <w:t xml:space="preserve"> </w:t>
      </w:r>
      <w:r>
        <w:t xml:space="preserve">: une feuille par fichier d’import attendu par SPO,</w:t>
      </w:r>
      <w:r>
        <w:t xml:space="preserve"> </w:t>
      </w:r>
      <w:r>
        <w:t xml:space="preserve">entièrement générée par formules à partir de la feuille pivot, et destinée à être</w:t>
      </w:r>
      <w:r>
        <w:t xml:space="preserve"> </w:t>
      </w:r>
      <w:r>
        <w:t xml:space="preserve">exportée en CSV.</w:t>
      </w:r>
    </w:p>
    <w:p>
      <w:pPr>
        <w:pStyle w:val="CaptionedFigure"/>
      </w:pPr>
      <w:r>
        <w:drawing>
          <wp:inline>
            <wp:extent cx="5334000" cy="2172133"/>
            <wp:effectExtent b="0" l="0" r="0" t="0"/>
            <wp:docPr descr="La chaîne de traitement à trois étages du fichier de travail" title="" id="24" name="Picture"/>
            <a:graphic>
              <a:graphicData uri="http://schemas.openxmlformats.org/drawingml/2006/picture">
                <pic:pic>
                  <pic:nvPicPr>
                    <pic:cNvPr descr="figures/fig_1_1_chaine_traitemen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2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1.1 – La chaîne de traitement à trois étages du fichier de travail</w:t>
      </w:r>
    </w:p>
    <w:p>
      <w:pPr>
        <w:pStyle w:val="BodyText"/>
      </w:pPr>
      <w:r>
        <w:t xml:space="preserve">Ce découpage répond à une règle que je me suis imposée dès la conception, et qui figure en</w:t>
      </w:r>
      <w:r>
        <w:t xml:space="preserve"> </w:t>
      </w:r>
      <w:r>
        <w:t xml:space="preserve">tête de la note de procédure que j’ai rédigée pour l’équipe : on ne modifie jamais</w:t>
      </w:r>
      <w:r>
        <w:t xml:space="preserve"> </w:t>
      </w:r>
      <w:r>
        <w:t xml:space="preserve">directement une feuille de sortie. Ces feuilles étant intégralement calculées, toute</w:t>
      </w:r>
      <w:r>
        <w:t xml:space="preserve"> </w:t>
      </w:r>
      <w:r>
        <w:t xml:space="preserve">correction saisie dedans serait écrasée au recalcul suivant, sans laisser de trace. Toute</w:t>
      </w:r>
      <w:r>
        <w:t xml:space="preserve"> </w:t>
      </w:r>
      <w:r>
        <w:t xml:space="preserve">intervention passe donc par</w:t>
      </w:r>
      <w:r>
        <w:t xml:space="preserve"> </w:t>
      </w:r>
      <w:r>
        <w:rPr>
          <w:rStyle w:val="VerbatimChar"/>
        </w:rPr>
        <w:t xml:space="preserve">BuilderTiers</w:t>
      </w:r>
      <w:r>
        <w:t xml:space="preserve"> </w:t>
      </w:r>
      <w:r>
        <w:t xml:space="preserve">ou par la feuille de coordonnées. Cette</w:t>
      </w:r>
      <w:r>
        <w:t xml:space="preserve"> </w:t>
      </w:r>
      <w:r>
        <w:t xml:space="preserve">discipline peut sembler contraignante à l’usage, mais elle est la contrepartie</w:t>
      </w:r>
      <w:r>
        <w:t xml:space="preserve"> </w:t>
      </w:r>
      <w:r>
        <w:t xml:space="preserve">indispensable de l’automatisation : c’est elle qui garantit qu’à tout moment, le contenu</w:t>
      </w:r>
      <w:r>
        <w:t xml:space="preserve"> </w:t>
      </w:r>
      <w:r>
        <w:t xml:space="preserve">des fichiers d’import est bien le résultat des règles décrites, et non d’une retouche</w:t>
      </w:r>
      <w:r>
        <w:t xml:space="preserve"> </w:t>
      </w:r>
      <w:r>
        <w:t xml:space="preserve">ponctuelle oubliée depuis.</w:t>
      </w:r>
    </w:p>
    <w:bookmarkEnd w:id="26"/>
    <w:bookmarkStart w:id="30" w:name="Xc561d59e2959c4252bdc762a8b3c6099541ba75"/>
    <w:p>
      <w:pPr>
        <w:pStyle w:val="Heading3"/>
      </w:pPr>
      <w:r>
        <w:t xml:space="preserve">1.2.2 Le modèle de données des tiers dans SPO : couples, personnes physiques, personnes morales</w:t>
      </w:r>
    </w:p>
    <w:p>
      <w:pPr>
        <w:pStyle w:val="FirstParagraph"/>
      </w:pPr>
      <w:r>
        <w:t xml:space="preserve">Avant de pouvoir automatiser quoi que ce soit, il fallait comprendre comment SPO représente</w:t>
      </w:r>
      <w:r>
        <w:t xml:space="preserve"> </w:t>
      </w:r>
      <w:r>
        <w:t xml:space="preserve">un tiers. Cette phase d’appropriation a repris la méthode que j’avais déjà éprouvée sur les</w:t>
      </w:r>
      <w:r>
        <w:t xml:space="preserve"> </w:t>
      </w:r>
      <w:r>
        <w:t xml:space="preserve">opérations : lecture de la documentation de l’éditeur, puis tests unitaires de création</w:t>
      </w:r>
      <w:r>
        <w:t xml:space="preserve"> </w:t>
      </w:r>
      <w:r>
        <w:t xml:space="preserve">pour valider empiriquement les champs réellement obligatoires.</w:t>
      </w:r>
    </w:p>
    <w:p>
      <w:pPr>
        <w:pStyle w:val="BodyText"/>
      </w:pPr>
      <w:r>
        <w:t xml:space="preserve">Deux caractéristiques du modèle ont structuré tout le reste du travail.</w:t>
      </w:r>
    </w:p>
    <w:p>
      <w:pPr>
        <w:pStyle w:val="BodyText"/>
      </w:pPr>
      <w:r>
        <w:t xml:space="preserve">La première est que SPO distingue trois</w:t>
      </w:r>
      <w:r>
        <w:t xml:space="preserve"> </w:t>
      </w:r>
      <w:r>
        <w:rPr>
          <w:bCs/>
          <w:b/>
        </w:rPr>
        <w:t xml:space="preserve">natures</w:t>
      </w:r>
      <w:r>
        <w:t xml:space="preserve"> </w:t>
      </w:r>
      <w:r>
        <w:t xml:space="preserve">de tiers, et que cette nature commande</w:t>
      </w:r>
      <w:r>
        <w:t xml:space="preserve"> </w:t>
      </w:r>
      <w:r>
        <w:t xml:space="preserve">la manière dont l’identité est portée. Une</w:t>
      </w:r>
      <w:r>
        <w:t xml:space="preserve"> </w:t>
      </w:r>
      <w:r>
        <w:rPr>
          <w:bCs/>
          <w:b/>
        </w:rPr>
        <w:t xml:space="preserve">personne morale</w:t>
      </w:r>
      <w:r>
        <w:t xml:space="preserve"> </w:t>
      </w:r>
      <w:r>
        <w:t xml:space="preserve">est une société, identifiée</w:t>
      </w:r>
      <w:r>
        <w:t xml:space="preserve"> </w:t>
      </w:r>
      <w:r>
        <w:t xml:space="preserve">par sa raison sociale et son SIRET (le numéro d’identification à quatorze chiffres d’un</w:t>
      </w:r>
      <w:r>
        <w:t xml:space="preserve"> </w:t>
      </w:r>
      <w:r>
        <w:t xml:space="preserve">établissement). Une</w:t>
      </w:r>
      <w:r>
        <w:t xml:space="preserve"> </w:t>
      </w:r>
      <w:r>
        <w:rPr>
          <w:bCs/>
          <w:b/>
        </w:rPr>
        <w:t xml:space="preserve">personne physique</w:t>
      </w:r>
      <w:r>
        <w:t xml:space="preserve"> </w:t>
      </w:r>
      <w:r>
        <w:t xml:space="preserve">est un individu, identifié par son nom, son</w:t>
      </w:r>
      <w:r>
        <w:t xml:space="preserve"> </w:t>
      </w:r>
      <w:r>
        <w:t xml:space="preserve">prénom et sa date de naissance. Un</w:t>
      </w:r>
      <w:r>
        <w:t xml:space="preserve"> </w:t>
      </w:r>
      <w:r>
        <w:rPr>
          <w:bCs/>
          <w:b/>
        </w:rPr>
        <w:t xml:space="preserve">couple</w:t>
      </w:r>
      <w:r>
        <w:t xml:space="preserve"> </w:t>
      </w:r>
      <w:r>
        <w:t xml:space="preserve">est une entité particulière : le tiers</w:t>
      </w:r>
      <w:r>
        <w:t xml:space="preserve"> </w:t>
      </w:r>
      <w:r>
        <w:t xml:space="preserve">lui-même n’est ni l’un ni l’autre des deux conjoints, il les regroupe, et les deux</w:t>
      </w:r>
      <w:r>
        <w:t xml:space="preserve"> </w:t>
      </w:r>
      <w:r>
        <w:t xml:space="preserve">personnes qui le composent sont enregistrées comme ses</w:t>
      </w:r>
      <w:r>
        <w:t xml:space="preserve"> </w:t>
      </w:r>
      <w:r>
        <w:rPr>
          <w:iCs/>
          <w:i/>
        </w:rPr>
        <w:t xml:space="preserve">représentants</w:t>
      </w:r>
      <w:r>
        <w:t xml:space="preserve">. Cette troisième</w:t>
      </w:r>
      <w:r>
        <w:t xml:space="preserve"> </w:t>
      </w:r>
      <w:r>
        <w:t xml:space="preserve">nature est de loin la plus fréquente dans notre activité, puisque l’essentiel de nos ventes</w:t>
      </w:r>
      <w:r>
        <w:t xml:space="preserve"> </w:t>
      </w:r>
      <w:r>
        <w:t xml:space="preserve">se fait à des couples acquéreurs.</w:t>
      </w:r>
    </w:p>
    <w:p>
      <w:pPr>
        <w:pStyle w:val="BodyText"/>
      </w:pPr>
      <w:r>
        <w:t xml:space="preserve">La seconde caractéristique est qu’un tiers n’est pas un enregistrement unique mais un</w:t>
      </w:r>
      <w:r>
        <w:t xml:space="preserve"> </w:t>
      </w:r>
      <w:r>
        <w:t xml:space="preserve">ensemble d’objets liés. La fiche principale ne porte que l’identité ; l’adresse, le</w:t>
      </w:r>
      <w:r>
        <w:t xml:space="preserve"> </w:t>
      </w:r>
      <w:r>
        <w:t xml:space="preserve">courriel, le téléphone, les représentants et les rôles sont autant d’objets rattachés, avec</w:t>
      </w:r>
      <w:r>
        <w:t xml:space="preserve"> </w:t>
      </w:r>
      <w:r>
        <w:t xml:space="preserve">chacun son propre fichier d’import. La Figure 1.2, reprise de mon mémoire de mi-parcours,</w:t>
      </w:r>
      <w:r>
        <w:t xml:space="preserve"> </w:t>
      </w:r>
      <w:r>
        <w:t xml:space="preserve">montre l’interface du module DirectAPI avec la ressource « Tiers » sélectionnée : on y lit</w:t>
      </w:r>
      <w:r>
        <w:t xml:space="preserve"> </w:t>
      </w:r>
      <w:r>
        <w:t xml:space="preserve">directement cette décomposition, puisque l’écran propose un emplacement de fichier distinct</w:t>
      </w:r>
      <w:r>
        <w:t xml:space="preserve"> </w:t>
      </w:r>
      <w:r>
        <w:t xml:space="preserve">par objet rattaché. Six d’entre eux correspondent aux six feuilles de sortie de mon fichier,</w:t>
      </w:r>
      <w:r>
        <w:t xml:space="preserve"> </w:t>
      </w:r>
      <w:r>
        <w:t xml:space="preserve">les deux autres, les RIB et les sites web, n’étant pas alimentés par cette reprise.</w:t>
      </w:r>
    </w:p>
    <w:p>
      <w:pPr>
        <w:pStyle w:val="CaptionedFigure"/>
      </w:pPr>
      <w:r>
        <w:drawing>
          <wp:inline>
            <wp:extent cx="4160520" cy="3072186"/>
            <wp:effectExtent b="0" l="0" r="0" t="0"/>
            <wp:docPr descr="L’interface du module DirectAPI, ressource « Tiers » : chaque objet rattaché appelle son propre fichier d’import" title="" id="28" name="Picture"/>
            <a:graphic>
              <a:graphicData uri="http://schemas.openxmlformats.org/drawingml/2006/picture">
                <pic:pic>
                  <pic:nvPicPr>
                    <pic:cNvPr descr="figures/fig_1_2_directapi_tier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3072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1.2 – L’interface du module DirectAPI, ressource « Tiers » : chaque objet rattaché appelle son propre fichier d’import</w:t>
      </w:r>
    </w:p>
    <w:p>
      <w:pPr>
        <w:pStyle w:val="BodyText"/>
      </w:pPr>
      <w:r>
        <w:t xml:space="preserve">C’est cette décomposition qui explique pourquoi mon fichier produit six feuilles de sortie</w:t>
      </w:r>
      <w:r>
        <w:t xml:space="preserve"> </w:t>
      </w:r>
      <w:r>
        <w:t xml:space="preserve">et non une seule. Elle explique aussi une asymétrie qui reviendra plus loin : les adresses,</w:t>
      </w:r>
      <w:r>
        <w:t xml:space="preserve"> </w:t>
      </w:r>
      <w:r>
        <w:t xml:space="preserve">courriels et téléphones se rattachent directement à une personne physique ou morale, mais</w:t>
      </w:r>
      <w:r>
        <w:t xml:space="preserve"> </w:t>
      </w:r>
      <w:r>
        <w:t xml:space="preserve">pour un couple, ils se rattachent aux représentants. Cette différence de traitement, qui</w:t>
      </w:r>
      <w:r>
        <w:t xml:space="preserve"> </w:t>
      </w:r>
      <w:r>
        <w:t xml:space="preserve">paraît anodine sur le papier, s’est révélée être la principale contrainte technique de</w:t>
      </w:r>
      <w:r>
        <w:t xml:space="preserve"> </w:t>
      </w:r>
      <w:r>
        <w:t xml:space="preserve">l’import.</w:t>
      </w:r>
    </w:p>
    <w:bookmarkEnd w:id="30"/>
    <w:bookmarkEnd w:id="31"/>
    <w:bookmarkStart w:id="41" w:name="les-trois-mécanismes-algorithmiques"/>
    <w:p>
      <w:pPr>
        <w:pStyle w:val="Heading2"/>
      </w:pPr>
      <w:r>
        <w:t xml:space="preserve">1.3 Les trois mécanismes algorithmiques</w:t>
      </w:r>
    </w:p>
    <w:p>
      <w:pPr>
        <w:pStyle w:val="FirstParagraph"/>
      </w:pPr>
      <w:r>
        <w:t xml:space="preserve">La feuille pivot repose sur trois mécanismes qui s’enchaînent : d’abord identifier les</w:t>
      </w:r>
      <w:r>
        <w:t xml:space="preserve"> </w:t>
      </w:r>
      <w:r>
        <w:t xml:space="preserve">doublons internes, ensuite écarter les tiers déjà créés dans SPO, enfin distribuer les</w:t>
      </w:r>
      <w:r>
        <w:t xml:space="preserve"> </w:t>
      </w:r>
      <w:r>
        <w:t xml:space="preserve">lignes retenues vers les six feuilles de sortie. Ces trois mécanismes sont ce qui distingue</w:t>
      </w:r>
      <w:r>
        <w:t xml:space="preserve"> </w:t>
      </w:r>
      <w:r>
        <w:t xml:space="preserve">un fichier de mise en forme d’un outil de reprise, puisqu’ils déplacent la décision</w:t>
      </w:r>
      <w:r>
        <w:t xml:space="preserve"> </w:t>
      </w:r>
      <w:r>
        <w:t xml:space="preserve">d’importer une ligne de l’opérateur vers une règle écrite.</w:t>
      </w:r>
    </w:p>
    <w:bookmarkStart w:id="32" w:name="X25567ac3b9c165f27b3c00e936fcd14508ffd86"/>
    <w:p>
      <w:pPr>
        <w:pStyle w:val="Heading3"/>
      </w:pPr>
      <w:r>
        <w:t xml:space="preserve">1.3.1 La déduplication par clés d’unicité différenciées selon la nature du tiers</w:t>
      </w:r>
    </w:p>
    <w:p>
      <w:pPr>
        <w:pStyle w:val="FirstParagraph"/>
      </w:pPr>
      <w:r>
        <w:t xml:space="preserve">Dédupliquer suppose de répondre d’abord à une question qui n’est pas technique : à partir de</w:t>
      </w:r>
      <w:r>
        <w:t xml:space="preserve"> </w:t>
      </w:r>
      <w:r>
        <w:t xml:space="preserve">quoi décide-t-on que deux lignes désignent la même personne ? C’est le point sur lequel</w:t>
      </w:r>
      <w:r>
        <w:t xml:space="preserve"> </w:t>
      </w:r>
      <w:r>
        <w:t xml:space="preserve">j’ai le plus hésité, et celui qui commande la qualité de tout le résultat.</w:t>
      </w:r>
    </w:p>
    <w:p>
      <w:pPr>
        <w:pStyle w:val="BodyText"/>
      </w:pPr>
      <w:r>
        <w:t xml:space="preserve">Une clé unique appliquée à l’ensemble du fichier ne pouvait pas convenir, précisément parce</w:t>
      </w:r>
      <w:r>
        <w:t xml:space="preserve"> </w:t>
      </w:r>
      <w:r>
        <w:t xml:space="preserve">que les trois natures de tiers ne s’identifient pas de la même façon. Deux sociétés peuvent</w:t>
      </w:r>
      <w:r>
        <w:t xml:space="preserve"> </w:t>
      </w:r>
      <w:r>
        <w:t xml:space="preserve">porter des raisons sociales très proches sans être la même entité, alors qu’il devient très</w:t>
      </w:r>
      <w:r>
        <w:t xml:space="preserve"> </w:t>
      </w:r>
      <w:r>
        <w:t xml:space="preserve">improbable que deux lignes partageant nom, prénom, date de naissance et adresse désignent</w:t>
      </w:r>
      <w:r>
        <w:t xml:space="preserve"> </w:t>
      </w:r>
      <w:r>
        <w:t xml:space="preserve">deux personnes distinctes. J’ai</w:t>
      </w:r>
      <w:r>
        <w:t xml:space="preserve"> </w:t>
      </w:r>
      <w:r>
        <w:t xml:space="preserve">donc retenu</w:t>
      </w:r>
      <w:r>
        <w:t xml:space="preserve"> </w:t>
      </w:r>
      <w:r>
        <w:rPr>
          <w:bCs/>
          <w:b/>
        </w:rPr>
        <w:t xml:space="preserve">trois clés d’unicité distinctes</w:t>
      </w:r>
      <w:r>
        <w:t xml:space="preserve">, une par nature, calculées chacune dans sa</w:t>
      </w:r>
      <w:r>
        <w:t xml:space="preserve"> </w:t>
      </w:r>
      <w:r>
        <w:t xml:space="preserve">propre colonne de la feuille pivot 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Pour un couple</w:t>
      </w:r>
      <w:r>
        <w:t xml:space="preserve"> </w:t>
      </w:r>
      <w:r>
        <w:t xml:space="preserve">: le nom et le prénom de l’acquéreur principal, désigné ADV dans nos</w:t>
      </w:r>
      <w:r>
        <w:t xml:space="preserve"> </w:t>
      </w:r>
      <w:r>
        <w:t xml:space="preserve">extractions du nom du dossier de vente auquel il est rattaché, complétés du nom et du</w:t>
      </w:r>
      <w:r>
        <w:t xml:space="preserve"> </w:t>
      </w:r>
      <w:r>
        <w:t xml:space="preserve">prénom du co-acquéreur, désigné CO. C’est la combinaison des deux identités qui fait l’unicité, et non chacune prise</w:t>
      </w:r>
      <w:r>
        <w:t xml:space="preserve"> </w:t>
      </w:r>
      <w:r>
        <w:t xml:space="preserve">isolément.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Pour une personne physique</w:t>
      </w:r>
      <w:r>
        <w:t xml:space="preserve"> </w:t>
      </w:r>
      <w:r>
        <w:t xml:space="preserve">: le nom, le prénom, la date de naissance et l’adresse.</w:t>
      </w:r>
      <w:r>
        <w:t xml:space="preserve"> </w:t>
      </w:r>
      <w:r>
        <w:t xml:space="preserve">La date de naissance sépare les homonymes, et l’adresse ajoute un second point de</w:t>
      </w:r>
      <w:r>
        <w:t xml:space="preserve"> </w:t>
      </w:r>
      <w:r>
        <w:t xml:space="preserve">comparaison.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Pour une personne morale</w:t>
      </w:r>
      <w:r>
        <w:t xml:space="preserve"> </w:t>
      </w:r>
      <w:r>
        <w:t xml:space="preserve">: la raison sociale et le SIRET. Le SIRET est l’identifiant</w:t>
      </w:r>
      <w:r>
        <w:t xml:space="preserve"> </w:t>
      </w:r>
      <w:r>
        <w:t xml:space="preserve">légal de l’établissement, et la raison sociale le double lorsqu’il fait défaut.</w:t>
      </w:r>
    </w:p>
    <w:p>
      <w:pPr>
        <w:pStyle w:val="FirstParagraph"/>
      </w:pPr>
      <w:r>
        <w:t xml:space="preserve">Chaque colonne calcule un</w:t>
      </w:r>
      <w:r>
        <w:t xml:space="preserve"> </w:t>
      </w:r>
      <w:r>
        <w:rPr>
          <w:bCs/>
          <w:b/>
        </w:rPr>
        <w:t xml:space="preserve">rang</w:t>
      </w:r>
      <w:r>
        <w:t xml:space="preserve"> </w:t>
      </w:r>
      <w:r>
        <w:t xml:space="preserve">: la première occurrence d’un tiers reçoit le rang 1,</w:t>
      </w:r>
      <w:r>
        <w:t xml:space="preserve"> </w:t>
      </w:r>
      <w:r>
        <w:t xml:space="preserve">les occurrences suivantes les rangs 2, 3, et ainsi de suite. Seules les lignes de rang 1</w:t>
      </w:r>
      <w:r>
        <w:t xml:space="preserve"> </w:t>
      </w:r>
      <w:r>
        <w:t xml:space="preserve">sont retenues pour l’import, les autres étant considérées comme des achats successifs d’un</w:t>
      </w:r>
      <w:r>
        <w:t xml:space="preserve"> </w:t>
      </w:r>
      <w:r>
        <w:t xml:space="preserve">client déjà compté. Ce principe de rang présente un avantage sur une déduplication par</w:t>
      </w:r>
      <w:r>
        <w:t xml:space="preserve"> </w:t>
      </w:r>
      <w:r>
        <w:t xml:space="preserve">suppression : aucune ligne n’est effacée du fichier de travail. Les doublons restent</w:t>
      </w:r>
      <w:r>
        <w:t xml:space="preserve"> </w:t>
      </w:r>
      <w:r>
        <w:t xml:space="preserve">visibles, avec leur rang, permettant à tout moment de vérifier pourquoi une ligne n’a</w:t>
      </w:r>
      <w:r>
        <w:t xml:space="preserve"> </w:t>
      </w:r>
      <w:r>
        <w:t xml:space="preserve">pas été importée et de remonter à la vente concernée.</w:t>
      </w:r>
    </w:p>
    <w:p>
      <w:pPr>
        <w:pStyle w:val="BodyText"/>
      </w:pPr>
      <w:r>
        <w:t xml:space="preserve">Ce choix de trois clés différenciées est, à mes yeux, le véritable cœur méthodologique de</w:t>
      </w:r>
      <w:r>
        <w:t xml:space="preserve"> </w:t>
      </w:r>
      <w:r>
        <w:t xml:space="preserve">ce travail. En effet, il traduit une idée simple : la règle d’unicité n’est pas une</w:t>
      </w:r>
      <w:r>
        <w:t xml:space="preserve"> </w:t>
      </w:r>
      <w:r>
        <w:t xml:space="preserve">propriété du fichier, c’est une propriété du métier. Chercher une clé universelle aurait conduit soit à</w:t>
      </w:r>
      <w:r>
        <w:t xml:space="preserve"> </w:t>
      </w:r>
      <w:r>
        <w:t xml:space="preserve">fusionner des tiers distincts, soit à en dupliquer, et dans les deux cas l’erreur n’aurait</w:t>
      </w:r>
      <w:r>
        <w:t xml:space="preserve"> </w:t>
      </w:r>
      <w:r>
        <w:t xml:space="preserve">été découverte que bien plus tard, dans l’usage quotidien de l’ERP.</w:t>
      </w:r>
    </w:p>
    <w:bookmarkEnd w:id="32"/>
    <w:bookmarkStart w:id="36" w:name="Xed9f9aadc86800bee5b2628c12d2096a19bdeba"/>
    <w:p>
      <w:pPr>
        <w:pStyle w:val="Heading3"/>
      </w:pPr>
      <w:r>
        <w:t xml:space="preserve">1.3.2 L’exclusion des tiers déjà présents dans SPO</w:t>
      </w:r>
    </w:p>
    <w:p>
      <w:pPr>
        <w:pStyle w:val="FirstParagraph"/>
      </w:pPr>
      <w:r>
        <w:t xml:space="preserve">Le deuxième mécanisme répond à la duplication externe. Pour chaque ligne de la feuille</w:t>
      </w:r>
      <w:r>
        <w:t xml:space="preserve"> </w:t>
      </w:r>
      <w:r>
        <w:t xml:space="preserve">pivot, trois formules de recherche interrogent la feuille contenant l’extraction des tiers</w:t>
      </w:r>
      <w:r>
        <w:t xml:space="preserve"> </w:t>
      </w:r>
      <w:r>
        <w:t xml:space="preserve">déjà créés dans SPO, chacune adaptée à une nature :</w:t>
      </w:r>
    </w:p>
    <w:p>
      <w:pPr>
        <w:numPr>
          <w:ilvl w:val="0"/>
          <w:numId w:val="1008"/>
        </w:numPr>
        <w:pStyle w:val="Compact"/>
      </w:pPr>
      <w:r>
        <w:t xml:space="preserve">La première recherche les</w:t>
      </w:r>
      <w:r>
        <w:t xml:space="preserve"> </w:t>
      </w:r>
      <w:r>
        <w:rPr>
          <w:bCs/>
          <w:b/>
        </w:rPr>
        <w:t xml:space="preserve">personnes morales</w:t>
      </w:r>
      <w:r>
        <w:t xml:space="preserve"> </w:t>
      </w:r>
      <w:r>
        <w:t xml:space="preserve">par leur raison sociale.</w:t>
      </w:r>
    </w:p>
    <w:p>
      <w:pPr>
        <w:numPr>
          <w:ilvl w:val="0"/>
          <w:numId w:val="1008"/>
        </w:numPr>
        <w:pStyle w:val="Compact"/>
      </w:pPr>
      <w:r>
        <w:t xml:space="preserve">La deuxième recherche les</w:t>
      </w:r>
      <w:r>
        <w:t xml:space="preserve"> </w:t>
      </w:r>
      <w:r>
        <w:rPr>
          <w:bCs/>
          <w:b/>
        </w:rPr>
        <w:t xml:space="preserve">personnes physiques</w:t>
      </w:r>
      <w:r>
        <w:t xml:space="preserve"> </w:t>
      </w:r>
      <w:r>
        <w:t xml:space="preserve">par leur nom et leur prénom.</w:t>
      </w:r>
    </w:p>
    <w:p>
      <w:pPr>
        <w:numPr>
          <w:ilvl w:val="0"/>
          <w:numId w:val="1008"/>
        </w:numPr>
        <w:pStyle w:val="Compact"/>
      </w:pPr>
      <w:r>
        <w:t xml:space="preserve">La troisième recherche les</w:t>
      </w:r>
      <w:r>
        <w:t xml:space="preserve"> </w:t>
      </w:r>
      <w:r>
        <w:rPr>
          <w:bCs/>
          <w:b/>
        </w:rPr>
        <w:t xml:space="preserve">couples</w:t>
      </w:r>
      <w:r>
        <w:t xml:space="preserve"> </w:t>
      </w:r>
      <w:r>
        <w:t xml:space="preserve">par les quatre noms qui les composent, en testant</w:t>
      </w:r>
      <w:r>
        <w:t xml:space="preserve"> </w:t>
      </w:r>
      <w:r>
        <w:t xml:space="preserve">les deux ordres possibles entre l’acquéreur et le co-acquéreur.</w:t>
      </w:r>
    </w:p>
    <w:p>
      <w:pPr>
        <w:pStyle w:val="FirstParagraph"/>
      </w:pPr>
      <w:r>
        <w:t xml:space="preserve">Ce dernier point mérite d’être souligné, parce qu’il illustre le genre de détail qui décide</w:t>
      </w:r>
      <w:r>
        <w:t xml:space="preserve"> </w:t>
      </w:r>
      <w:r>
        <w:t xml:space="preserve">de la réussite d’une reprise. Rien ne garantit que l’ordre des deux conjoints soit le même</w:t>
      </w:r>
      <w:r>
        <w:t xml:space="preserve"> </w:t>
      </w:r>
      <w:r>
        <w:t xml:space="preserve">dans Vadimm et dans SPO : un couple saisi manuellement peut très bien y figurer avec le</w:t>
      </w:r>
      <w:r>
        <w:t xml:space="preserve"> </w:t>
      </w:r>
      <w:r>
        <w:t xml:space="preserve">conjoint en premier. Une recherche qui ne testerait qu’un seul sens laisserait donc passer</w:t>
      </w:r>
      <w:r>
        <w:t xml:space="preserve"> </w:t>
      </w:r>
      <w:r>
        <w:t xml:space="preserve">une partie des doublons, et les tiers concernés seraient créés une seconde fois sans que</w:t>
      </w:r>
      <w:r>
        <w:t xml:space="preserve"> </w:t>
      </w:r>
      <w:r>
        <w:t xml:space="preserve">personne s’en aperçoive avant longtemps. Tester les deux sens allonge la formule, mais</w:t>
      </w:r>
      <w:r>
        <w:t xml:space="preserve"> </w:t>
      </w:r>
      <w:r>
        <w:t xml:space="preserve">supprime entièrement ce risque.</w:t>
      </w:r>
    </w:p>
    <w:p>
      <w:pPr>
        <w:pStyle w:val="BodyText"/>
      </w:pPr>
      <w:r>
        <w:t xml:space="preserve">Lorsque l’une de ces trois formules renvoie un code tiers de SPO, du type</w:t>
      </w:r>
      <w:r>
        <w:t xml:space="preserve"> </w:t>
      </w:r>
      <w:r>
        <w:rPr>
          <w:rStyle w:val="VerbatimChar"/>
        </w:rPr>
        <w:t xml:space="preserve">T00012666</w:t>
      </w:r>
      <w:r>
        <w:t xml:space="preserve">, la</w:t>
      </w:r>
      <w:r>
        <w:t xml:space="preserve"> </w:t>
      </w:r>
      <w:r>
        <w:t xml:space="preserve">ligne est automatiquement exclue de l’import. Sur ce projet,</w:t>
      </w:r>
      <w:r>
        <w:t xml:space="preserve"> </w:t>
      </w:r>
      <w:r>
        <w:rPr>
          <w:bCs/>
          <w:b/>
        </w:rPr>
        <w:t xml:space="preserve">40 tiers</w:t>
      </w:r>
      <w:r>
        <w:t xml:space="preserve"> </w:t>
      </w:r>
      <w:r>
        <w:t xml:space="preserve">ont ainsi été</w:t>
      </w:r>
      <w:r>
        <w:t xml:space="preserve"> </w:t>
      </w:r>
      <w:r>
        <w:t xml:space="preserve">détectés comme déjà existants et écartés. Rapporté aux 1 474 tiers uniques, le volume peut</w:t>
      </w:r>
      <w:r>
        <w:t xml:space="preserve"> </w:t>
      </w:r>
      <w:r>
        <w:t xml:space="preserve">sembler faible, mais chacun de ces 40 cas aurait produit un doublon durable dans le</w:t>
      </w:r>
      <w:r>
        <w:t xml:space="preserve"> </w:t>
      </w:r>
      <w:r>
        <w:t xml:space="preserve">référentiel client de l’entreprise.</w:t>
      </w:r>
    </w:p>
    <w:p>
      <w:pPr>
        <w:pStyle w:val="BodyText"/>
      </w:pPr>
      <w:r>
        <w:t xml:space="preserve">La Figure 1.3 récapitule l’effet cumulé de ces deux premiers mécanismes. Des 1 602 lignes</w:t>
      </w:r>
      <w:r>
        <w:t xml:space="preserve"> </w:t>
      </w:r>
      <w:r>
        <w:t xml:space="preserve">du périmètre de départ, la déduplication interne en écarte 128 qui correspondent à des</w:t>
      </w:r>
      <w:r>
        <w:t xml:space="preserve"> </w:t>
      </w:r>
      <w:r>
        <w:t xml:space="preserve">achats répétés, ramenant le total à 1 474 tiers uniques ; l’exclusion des tiers déjà présents</w:t>
      </w:r>
      <w:r>
        <w:t xml:space="preserve"> </w:t>
      </w:r>
      <w:r>
        <w:t xml:space="preserve">dans SPO en retire 40 de plus, pour un total de</w:t>
      </w:r>
      <w:r>
        <w:t xml:space="preserve"> </w:t>
      </w:r>
      <w:r>
        <w:rPr>
          <w:bCs/>
          <w:b/>
        </w:rPr>
        <w:t xml:space="preserve">1 434 tiers à créer</w:t>
      </w:r>
      <w:r>
        <w:t xml:space="preserve">. Chaque étage de</w:t>
      </w:r>
      <w:r>
        <w:t xml:space="preserve"> </w:t>
      </w:r>
      <w:r>
        <w:t xml:space="preserve">ce filtrage correspond à une règle explicite, écrite dans une colonne du fichier, donc</w:t>
      </w:r>
      <w:r>
        <w:t xml:space="preserve"> </w:t>
      </w:r>
      <w:r>
        <w:t xml:space="preserve">vérifiable et reproductible.</w:t>
      </w:r>
    </w:p>
    <w:p>
      <w:pPr>
        <w:pStyle w:val="CaptionedFigure"/>
      </w:pPr>
      <w:r>
        <w:drawing>
          <wp:inline>
            <wp:extent cx="4907280" cy="1850357"/>
            <wp:effectExtent b="0" l="0" r="0" t="0"/>
            <wp:docPr descr="De 1 602 lignes de départ à 1 434 tiers créés : l’effet des deux filtres successifs" title="" id="34" name="Picture"/>
            <a:graphic>
              <a:graphicData uri="http://schemas.openxmlformats.org/drawingml/2006/picture">
                <pic:pic>
                  <pic:nvPicPr>
                    <pic:cNvPr descr="figures/fig_1_3_entonnoir_volumetri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1850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1.3 – De 1 602 lignes de départ à 1 434 tiers créés : l’effet des deux filtres successifs</w:t>
      </w:r>
    </w:p>
    <w:bookmarkEnd w:id="36"/>
    <w:bookmarkStart w:id="40" w:name="X8e48716cd2519bf25bfa7252f2937d1001c6cbb"/>
    <w:p>
      <w:pPr>
        <w:pStyle w:val="Heading3"/>
      </w:pPr>
      <w:r>
        <w:t xml:space="preserve">1.3.3 La propagation vers les feuilles de sortie par numérotation séquentielle</w:t>
      </w:r>
    </w:p>
    <w:p>
      <w:pPr>
        <w:pStyle w:val="FirstParagraph"/>
      </w:pPr>
      <w:r>
        <w:t xml:space="preserve">Restait à alimenter les six feuilles de sortie à partir des lignes retenues. La difficulté</w:t>
      </w:r>
      <w:r>
        <w:t xml:space="preserve"> </w:t>
      </w:r>
      <w:r>
        <w:t xml:space="preserve">tient à ce que ces feuilles n’ont ni la même population ni le même nombre de lignes. La</w:t>
      </w:r>
      <w:r>
        <w:t xml:space="preserve"> </w:t>
      </w:r>
      <w:r>
        <w:t xml:space="preserve">feuille des tiers reçoit un enregistrement par tiers créé, mais la feuille des adresses ne</w:t>
      </w:r>
      <w:r>
        <w:t xml:space="preserve"> </w:t>
      </w:r>
      <w:r>
        <w:t xml:space="preserve">concerne que les personnes physiques et morales, celle des courriels seulement celles de</w:t>
      </w:r>
      <w:r>
        <w:t xml:space="preserve"> </w:t>
      </w:r>
      <w:r>
        <w:t xml:space="preserve">ces personnes dont le courriel est renseigné, et celle des représentants deux lignes par couple plus une par</w:t>
      </w:r>
      <w:r>
        <w:t xml:space="preserve"> </w:t>
      </w:r>
      <w:r>
        <w:t xml:space="preserve">société. Il fallait donc, pour chaque feuille, une numérotation qui lui soit propre.</w:t>
      </w:r>
    </w:p>
    <w:p>
      <w:pPr>
        <w:pStyle w:val="BodyText"/>
      </w:pPr>
      <w:r>
        <w:t xml:space="preserve">Le mécanisme que j’ai retenu attribue à chaque ligne de la feuille pivot un</w:t>
      </w:r>
      <w:r>
        <w:t xml:space="preserve"> </w:t>
      </w:r>
      <w:r>
        <w:rPr>
          <w:bCs/>
          <w:b/>
        </w:rPr>
        <w:t xml:space="preserve">numéro</w:t>
      </w:r>
      <w:r>
        <w:rPr>
          <w:bCs/>
          <w:b/>
        </w:rPr>
        <w:t xml:space="preserve"> </w:t>
      </w:r>
      <w:r>
        <w:rPr>
          <w:bCs/>
          <w:b/>
        </w:rPr>
        <w:t xml:space="preserve">séquentiel par destination</w:t>
      </w:r>
      <w:r>
        <w:t xml:space="preserve">, calculé dans une colonne dédiée. Une ligne qui n’a pas</w:t>
      </w:r>
      <w:r>
        <w:t xml:space="preserve"> </w:t>
      </w:r>
      <w:r>
        <w:t xml:space="preserve">vocation à alimenter une feuille donnée ne reçoit pas de numéro pour cette feuille ; les</w:t>
      </w:r>
      <w:r>
        <w:t xml:space="preserve"> </w:t>
      </w:r>
      <w:r>
        <w:t xml:space="preserve">lignes concernées sont numérotées de 1 à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dans l’ordre de la feuille pivot. Chaque</w:t>
      </w:r>
      <w:r>
        <w:t xml:space="preserve"> </w:t>
      </w:r>
      <w:r>
        <w:t xml:space="preserve">feuille de sortie n’a plus alors qu’à rechercher, pour sa ligne</w:t>
      </w:r>
      <w:r>
        <w:t xml:space="preserve"> </w:t>
      </w:r>
      <w:r>
        <w:rPr>
          <w:iCs/>
          <w:i/>
        </w:rPr>
        <w:t xml:space="preserve">i</w:t>
      </w:r>
      <w:r>
        <w:t xml:space="preserve">, la ligne de</w:t>
      </w:r>
      <w:r>
        <w:t xml:space="preserve"> </w:t>
      </w:r>
      <w:r>
        <w:rPr>
          <w:rStyle w:val="VerbatimChar"/>
        </w:rPr>
        <w:t xml:space="preserve">BuilderTiers</w:t>
      </w:r>
      <w:r>
        <w:t xml:space="preserve"> </w:t>
      </w:r>
      <w:r>
        <w:t xml:space="preserve">portant le numéro</w:t>
      </w:r>
      <w:r>
        <w:t xml:space="preserve"> </w:t>
      </w:r>
      <w:r>
        <w:rPr>
          <w:iCs/>
          <w:i/>
        </w:rPr>
        <w:t xml:space="preserve">i</w:t>
      </w:r>
      <w:r>
        <w:t xml:space="preserve"> </w:t>
      </w:r>
      <w:r>
        <w:t xml:space="preserve">dans la colonne qui la concerne.</w:t>
      </w:r>
    </w:p>
    <w:p>
      <w:pPr>
        <w:pStyle w:val="BodyText"/>
      </w:pPr>
      <w:r>
        <w:t xml:space="preserve">L’intérêt de ce détour est qu’il rend les six feuilles indépendantes les unes des autres</w:t>
      </w:r>
      <w:r>
        <w:t xml:space="preserve"> </w:t>
      </w:r>
      <w:r>
        <w:t xml:space="preserve">tout en les gardant synchronisées avec une source unique. Si une ligne est corrigée dans la</w:t>
      </w:r>
      <w:r>
        <w:t xml:space="preserve"> </w:t>
      </w:r>
      <w:r>
        <w:t xml:space="preserve">feuille pivot, ou si une nouvelle exclusion apparaît, les six numérotations se recalculent</w:t>
      </w:r>
      <w:r>
        <w:t xml:space="preserve"> </w:t>
      </w:r>
      <w:r>
        <w:t xml:space="preserve">et les six fichiers restent cohérents entre eux. C’est exactement le problème qui, en</w:t>
      </w:r>
      <w:r>
        <w:t xml:space="preserve"> </w:t>
      </w:r>
      <w:r>
        <w:t xml:space="preserve">saisie manuelle, produit les incohérences les plus difficiles à détecter : une adresse</w:t>
      </w:r>
      <w:r>
        <w:t xml:space="preserve"> </w:t>
      </w:r>
      <w:r>
        <w:t xml:space="preserve">rattachée au mauvais tiers parce qu’une ligne a été insérée quelque part sans que le reste</w:t>
      </w:r>
      <w:r>
        <w:t xml:space="preserve"> </w:t>
      </w:r>
      <w:r>
        <w:t xml:space="preserve">suive.</w:t>
      </w:r>
    </w:p>
    <w:p>
      <w:pPr>
        <w:pStyle w:val="BodyText"/>
      </w:pPr>
      <w:r>
        <w:t xml:space="preserve">La Figure 1.4 donne la volumétrie effectivement produite par chacune des six feuilles. On</w:t>
      </w:r>
      <w:r>
        <w:t xml:space="preserve"> </w:t>
      </w:r>
      <w:r>
        <w:t xml:space="preserve">y lit directement le modèle de données décrit plus haut : 1 434 lignes pour la liste</w:t>
      </w:r>
      <w:r>
        <w:t xml:space="preserve"> </w:t>
      </w:r>
      <w:r>
        <w:t xml:space="preserve">maîtresse des tiers et autant pour l’attribution du rôle « Client », mais 1 871 lignes de</w:t>
      </w:r>
      <w:r>
        <w:t xml:space="preserve"> </w:t>
      </w:r>
      <w:r>
        <w:t xml:space="preserve">représentants, puisque chaque couple en compte deux, et seulement 553 adresses, 538</w:t>
      </w:r>
      <w:r>
        <w:t xml:space="preserve"> </w:t>
      </w:r>
      <w:r>
        <w:t xml:space="preserve">téléphones et 469 courriels, ces trois derniers fichiers ne portant que les personnes</w:t>
      </w:r>
      <w:r>
        <w:t xml:space="preserve"> </w:t>
      </w:r>
      <w:r>
        <w:t xml:space="preserve">physiques et morales. Ces écarts de volumétrie d’un fichier à l’autre ne sont donc pas des</w:t>
      </w:r>
      <w:r>
        <w:t xml:space="preserve"> </w:t>
      </w:r>
      <w:r>
        <w:t xml:space="preserve">approximations : ils sont la traduction directe du modèle de données décrit en 1.2.2.</w:t>
      </w:r>
    </w:p>
    <w:p>
      <w:pPr>
        <w:pStyle w:val="CaptionedFigure"/>
      </w:pPr>
      <w:r>
        <w:drawing>
          <wp:inline>
            <wp:extent cx="5067300" cy="2234997"/>
            <wp:effectExtent b="0" l="0" r="0" t="0"/>
            <wp:docPr descr="Les six fichiers d’import produits par la feuille pivot" title="" id="38" name="Picture"/>
            <a:graphic>
              <a:graphicData uri="http://schemas.openxmlformats.org/drawingml/2006/picture">
                <pic:pic>
                  <pic:nvPicPr>
                    <pic:cNvPr descr="figures/fig_1_4_volumetrie_fichiers_import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234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1.4 – Les six fichiers d’import produits par la feuille pivot</w:t>
      </w:r>
    </w:p>
    <w:p>
      <w:pPr>
        <w:pStyle w:val="BodyText"/>
      </w:pPr>
      <w:r>
        <w:rPr>
          <w:bCs/>
          <w:b/>
        </w:rPr>
        <w:t xml:space="preserve">[Emplacement réservé pour une figure — capture d’écran de la feuille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BuilderTiers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bCs/>
          <w:b/>
        </w:rPr>
        <w:t xml:space="preserve">montrant côte à côte les colonnes de données reprises et les colonnes calculées : les trois</w:t>
      </w:r>
      <w:r>
        <w:rPr>
          <w:bCs/>
          <w:b/>
        </w:rPr>
        <w:t xml:space="preserve"> </w:t>
      </w:r>
      <w:r>
        <w:rPr>
          <w:bCs/>
          <w:b/>
        </w:rPr>
        <w:t xml:space="preserve">rangs de déduplication avec des valeurs 1 et 2 visibles, et une ligne portant un code SPO</w:t>
      </w:r>
      <w:r>
        <w:rPr>
          <w:bCs/>
          <w:b/>
        </w:rPr>
        <w:t xml:space="preserve"> </w:t>
      </w:r>
      <w:r>
        <w:rPr>
          <w:bCs/>
          <w:b/>
        </w:rPr>
        <w:t xml:space="preserve">dans les colonnes de rapprochement. À insérer ici, avec renumérotation des figures</w:t>
      </w:r>
      <w:r>
        <w:rPr>
          <w:bCs/>
          <w:b/>
        </w:rPr>
        <w:t xml:space="preserve"> </w:t>
      </w:r>
      <w:r>
        <w:rPr>
          <w:bCs/>
          <w:b/>
        </w:rPr>
        <w:t xml:space="preserve">suivantes.]</w:t>
      </w:r>
    </w:p>
    <w:bookmarkEnd w:id="40"/>
    <w:bookmarkEnd w:id="41"/>
    <w:bookmarkStart w:id="44" w:name="X9f16b6badd74dad5d51a141a34c6403b7364c15"/>
    <w:p>
      <w:pPr>
        <w:pStyle w:val="Heading2"/>
      </w:pPr>
      <w:r>
        <w:t xml:space="preserve">1.4 De la préparation à l’injection : procédure et contraintes techniques</w:t>
      </w:r>
    </w:p>
    <w:bookmarkStart w:id="42" w:name="X089274de5f94372c49c715cfd2b3239808f155b"/>
    <w:p>
      <w:pPr>
        <w:pStyle w:val="Heading3"/>
      </w:pPr>
      <w:r>
        <w:t xml:space="preserve">1.4.1 Génération et normalisation des fichiers d’import</w:t>
      </w:r>
    </w:p>
    <w:p>
      <w:pPr>
        <w:pStyle w:val="FirstParagraph"/>
      </w:pPr>
      <w:r>
        <w:t xml:space="preserve">Une fois les six feuilles calculées, il restait à les transformer en fichiers réellement</w:t>
      </w:r>
      <w:r>
        <w:t xml:space="preserve"> </w:t>
      </w:r>
      <w:r>
        <w:t xml:space="preserve">acceptés par SPO. Cette étape, que j’imaginais purement mécanique, a en réalité mobilisé</w:t>
      </w:r>
      <w:r>
        <w:t xml:space="preserve"> </w:t>
      </w:r>
      <w:r>
        <w:t xml:space="preserve">plusieurs contraintes de format que la documentation ne mentionnait pas et que les premiers</w:t>
      </w:r>
      <w:r>
        <w:t xml:space="preserve"> </w:t>
      </w:r>
      <w:r>
        <w:t xml:space="preserve">rejets ont fait apparaître.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L’encodage et le séparateur.</w:t>
      </w:r>
      <w:r>
        <w:t xml:space="preserve"> </w:t>
      </w:r>
      <w:r>
        <w:t xml:space="preserve">Les fichiers doivent être enregistrés en CSV</w:t>
      </w:r>
      <w:r>
        <w:t xml:space="preserve"> </w:t>
      </w:r>
      <w:r>
        <w:t xml:space="preserve">(</w:t>
      </w:r>
      <w:r>
        <w:rPr>
          <w:iCs/>
          <w:i/>
        </w:rPr>
        <w:t xml:space="preserve">Comma-Separated Values</w:t>
      </w:r>
      <w:r>
        <w:t xml:space="preserve">, un format texte où les colonnes sont séparées par un</w:t>
      </w:r>
      <w:r>
        <w:t xml:space="preserve"> </w:t>
      </w:r>
      <w:r>
        <w:t xml:space="preserve">caractère) encodé en UTF-8, avec le point-virgule comme séparateur. C’est la seule</w:t>
      </w:r>
      <w:r>
        <w:t xml:space="preserve"> </w:t>
      </w:r>
      <w:r>
        <w:t xml:space="preserve">configuration acceptée par l’outil d’import.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La normalisation des caractères.</w:t>
      </w:r>
      <w:r>
        <w:t xml:space="preserve"> </w:t>
      </w:r>
      <w:r>
        <w:t xml:space="preserve">SPO refuse les caractères accentués dans les</w:t>
      </w:r>
      <w:r>
        <w:t xml:space="preserve"> </w:t>
      </w:r>
      <w:r>
        <w:t xml:space="preserve">colonnes textuelles. Il a donc fallu convertir en ASCII pur l’ensemble des noms, prénoms,</w:t>
      </w:r>
      <w:r>
        <w:t xml:space="preserve"> </w:t>
      </w:r>
      <w:r>
        <w:t xml:space="preserve">adresses et professions, en remplaçant les caractères accentués par leur équivalent non</w:t>
      </w:r>
      <w:r>
        <w:t xml:space="preserve"> </w:t>
      </w:r>
      <w:r>
        <w:t xml:space="preserve">accentué. Cette contrainte est frustrante, puisqu’elle dégrade volontairement une donnée</w:t>
      </w:r>
      <w:r>
        <w:t xml:space="preserve"> </w:t>
      </w:r>
      <w:r>
        <w:t xml:space="preserve">correcte, mais elle est bloquante : sans elle, les lignes concernées sont rejetées.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La structure de l’en-tête.</w:t>
      </w:r>
      <w:r>
        <w:t xml:space="preserve"> </w:t>
      </w:r>
      <w:r>
        <w:t xml:space="preserve">Les feuilles de travail comportent deux lignes de titre,</w:t>
      </w:r>
      <w:r>
        <w:t xml:space="preserve"> </w:t>
      </w:r>
      <w:r>
        <w:t xml:space="preserve">l’intitulé des colonnes et le type de données attendu. Seule la première doit être</w:t>
      </w:r>
      <w:r>
        <w:t xml:space="preserve"> </w:t>
      </w:r>
      <w:r>
        <w:t xml:space="preserve">conservée dans le fichier exporté.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Le découpage en lots.</w:t>
      </w:r>
      <w:r>
        <w:t xml:space="preserve"> </w:t>
      </w:r>
      <w:r>
        <w:t xml:space="preserve">Les fichiers doivent être découpés en lots de 200 tiers au</w:t>
      </w:r>
      <w:r>
        <w:t xml:space="preserve"> </w:t>
      </w:r>
      <w:r>
        <w:t xml:space="preserve">maximum, et surtout être homogènes en nature : un même fichier ne peut pas contenir à la</w:t>
      </w:r>
      <w:r>
        <w:t xml:space="preserve"> </w:t>
      </w:r>
      <w:r>
        <w:t xml:space="preserve">fois des couples et des personnes physiques. Cette dernière règle a une conséquence</w:t>
      </w:r>
      <w:r>
        <w:t xml:space="preserve"> </w:t>
      </w:r>
      <w:r>
        <w:t xml:space="preserve">pratique importante, puisqu’elle impose de trier les lignes par nature avant de découper,</w:t>
      </w:r>
      <w:r>
        <w:t xml:space="preserve"> </w:t>
      </w:r>
      <w:r>
        <w:t xml:space="preserve">et c’est elle qui explique que l’import des couples s’est fait en cinq lots successifs.</w:t>
      </w:r>
    </w:p>
    <w:p>
      <w:pPr>
        <w:pStyle w:val="FirstParagraph"/>
      </w:pPr>
      <w:r>
        <w:t xml:space="preserve">J’ai consigné l’ensemble de ces contraintes dans la note de procédure remise à l’équipe, en</w:t>
      </w:r>
      <w:r>
        <w:t xml:space="preserve"> </w:t>
      </w:r>
      <w:r>
        <w:t xml:space="preserve">même temps que la marche à suivre pour rejouer l’import si celui-ci devait être différé.</w:t>
      </w:r>
      <w:r>
        <w:t xml:space="preserve"> </w:t>
      </w:r>
      <w:r>
        <w:t xml:space="preserve">Ce dernier point n’est pas anecdotique : entre la préparation du fichier et l’injection</w:t>
      </w:r>
      <w:r>
        <w:t xml:space="preserve"> </w:t>
      </w:r>
      <w:r>
        <w:t xml:space="preserve">effective, d’autres tiers peuvent être créés dans SPO par les équipes commerciales. La</w:t>
      </w:r>
      <w:r>
        <w:t xml:space="preserve"> </w:t>
      </w:r>
      <w:r>
        <w:t xml:space="preserve">procédure prévoit donc de redemander une extraction actualisée des tiers existants, de</w:t>
      </w:r>
      <w:r>
        <w:t xml:space="preserve"> </w:t>
      </w:r>
      <w:r>
        <w:t xml:space="preserve">remplacer le contenu de la feuille de référence et de recalculer : les tiers devenus</w:t>
      </w:r>
      <w:r>
        <w:t xml:space="preserve"> </w:t>
      </w:r>
      <w:r>
        <w:t xml:space="preserve">existants entre-temps sortent alors automatiquement du périmètre d’import. Le fichier reste</w:t>
      </w:r>
      <w:r>
        <w:t xml:space="preserve"> </w:t>
      </w:r>
      <w:r>
        <w:t xml:space="preserve">ainsi utilisable dans le temps, ce qui était l’un de mes objectifs de conception.</w:t>
      </w:r>
    </w:p>
    <w:bookmarkEnd w:id="42"/>
    <w:bookmarkStart w:id="43" w:name="Xbcf0721a2fd042b3991778598dd74225cd6534f"/>
    <w:p>
      <w:pPr>
        <w:pStyle w:val="Heading3"/>
      </w:pPr>
      <w:r>
        <w:t xml:space="preserve">1.4.2 Le contournement par API : 872 requêtes PATCH pour les coordonnées des couples</w:t>
      </w:r>
    </w:p>
    <w:p>
      <w:pPr>
        <w:pStyle w:val="FirstParagraph"/>
      </w:pPr>
      <w:r>
        <w:t xml:space="preserve">C’est à ce stade que j’ai rencontré la contrainte la plus structurante du projet, et celle</w:t>
      </w:r>
      <w:r>
        <w:t xml:space="preserve"> </w:t>
      </w:r>
      <w:r>
        <w:t xml:space="preserve">dont la résolution m’a le plus appris.</w:t>
      </w:r>
    </w:p>
    <w:p>
      <w:pPr>
        <w:pStyle w:val="BodyText"/>
      </w:pPr>
      <w:r>
        <w:t xml:space="preserve">Le format d’import CSV de SPO ne permet pas de porter les courriels et les téléphones des</w:t>
      </w:r>
      <w:r>
        <w:t xml:space="preserve"> </w:t>
      </w:r>
      <w:r>
        <w:t xml:space="preserve">couples. La raison en est logique au regard du modèle de données décrit en 1.2.2 : pour un</w:t>
      </w:r>
      <w:r>
        <w:t xml:space="preserve"> </w:t>
      </w:r>
      <w:r>
        <w:t xml:space="preserve">couple, ces coordonnées ne sont pas des attributs du tiers mais des attributs de ses</w:t>
      </w:r>
      <w:r>
        <w:t xml:space="preserve"> </w:t>
      </w:r>
      <w:r>
        <w:t xml:space="preserve">représentants, et les fichiers d’import de coordonnées ne savent viser qu’un tiers. Le</w:t>
      </w:r>
      <w:r>
        <w:t xml:space="preserve"> </w:t>
      </w:r>
      <w:r>
        <w:t xml:space="preserve">résultat est que, sur les 881 couples créés, les fichiers CSV pouvaient produire l’identité</w:t>
      </w:r>
      <w:r>
        <w:t xml:space="preserve"> </w:t>
      </w:r>
      <w:r>
        <w:t xml:space="preserve">et les représentants, mais ne pouvaient pas porter les coordonnées de contact. Concrètement,</w:t>
      </w:r>
      <w:r>
        <w:t xml:space="preserve"> </w:t>
      </w:r>
      <w:r>
        <w:t xml:space="preserve">plus de six tiers sur dix se seraient retrouvés dans l’ERP sans adresse électronique ni</w:t>
      </w:r>
      <w:r>
        <w:t xml:space="preserve"> </w:t>
      </w:r>
      <w:r>
        <w:t xml:space="preserve">numéro de téléphone, ce qui aurait vidé une bonne partie de l’intérêt de la reprise pour</w:t>
      </w:r>
      <w:r>
        <w:t xml:space="preserve"> </w:t>
      </w:r>
      <w:r>
        <w:t xml:space="preserve">les équipes commerciales.</w:t>
      </w:r>
    </w:p>
    <w:p>
      <w:pPr>
        <w:pStyle w:val="BodyText"/>
      </w:pPr>
      <w:r>
        <w:t xml:space="preserve">Deux voies restaient praticables. La première, saisir ces coordonnées à la main après</w:t>
      </w:r>
      <w:r>
        <w:t xml:space="preserve"> </w:t>
      </w:r>
      <w:r>
        <w:t xml:space="preserve">l’import, représentait plusieurs centaines de saisies et reconduisait exactement le risque</w:t>
      </w:r>
      <w:r>
        <w:t xml:space="preserve"> </w:t>
      </w:r>
      <w:r>
        <w:t xml:space="preserve">d’erreur que le fichier automatisé visait à supprimer. La seconde consistait à passer par</w:t>
      </w:r>
      <w:r>
        <w:t xml:space="preserve"> </w:t>
      </w:r>
      <w:r>
        <w:t xml:space="preserve">l’API de SPO, que j’avais déjà pratiquée au premier semestre. C’est celle que j’ai</w:t>
      </w:r>
      <w:r>
        <w:t xml:space="preserve"> </w:t>
      </w:r>
      <w:r>
        <w:t xml:space="preserve">retenue.</w:t>
      </w:r>
    </w:p>
    <w:p>
      <w:pPr>
        <w:pStyle w:val="BodyText"/>
      </w:pPr>
      <w:r>
        <w:t xml:space="preserve">L’API expose en effet une opération de modification partielle au format</w:t>
      </w:r>
      <w:r>
        <w:t xml:space="preserve"> </w:t>
      </w:r>
      <w:r>
        <w:rPr>
          <w:bCs/>
          <w:b/>
        </w:rPr>
        <w:t xml:space="preserve">JSON Patch</w:t>
      </w:r>
      <w:r>
        <w:t xml:space="preserve">,</w:t>
      </w:r>
      <w:r>
        <w:t xml:space="preserve"> </w:t>
      </w:r>
      <w:r>
        <w:t xml:space="preserve">normalisé par la RFC 6902. Ce format permet de décrire une modification non pas en</w:t>
      </w:r>
      <w:r>
        <w:t xml:space="preserve"> </w:t>
      </w:r>
      <w:r>
        <w:t xml:space="preserve">renvoyant l’objet entier, mais sous la forme d’une liste d’opérations élémentaires, chacune</w:t>
      </w:r>
      <w:r>
        <w:t xml:space="preserve"> </w:t>
      </w:r>
      <w:r>
        <w:t xml:space="preserve">indiquant l’action à effectuer, le chemin de la propriété visée dans l’objet et la valeur à</w:t>
      </w:r>
      <w:r>
        <w:t xml:space="preserve"> </w:t>
      </w:r>
      <w:r>
        <w:t xml:space="preserve">appliquer. C’est exactement ce dont j’avais besoin : ajouter un courriel et un téléphone</w:t>
      </w:r>
      <w:r>
        <w:t xml:space="preserve"> </w:t>
      </w:r>
      <w:r>
        <w:t xml:space="preserve">sur un représentant déjà créé, sans toucher au reste de sa fiche ni risquer d’écraser une</w:t>
      </w:r>
      <w:r>
        <w:t xml:space="preserve"> </w:t>
      </w:r>
      <w:r>
        <w:t xml:space="preserve">donnée saisie ailleurs.</w:t>
      </w:r>
    </w:p>
    <w:p>
      <w:pPr>
        <w:pStyle w:val="BodyText"/>
      </w:pPr>
      <w:r>
        <w:t xml:space="preserve">La démarche s’est déroulée en trois temps 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Génération des requêtes.</w:t>
      </w:r>
      <w:r>
        <w:t xml:space="preserve"> </w:t>
      </w:r>
      <w:r>
        <w:t xml:space="preserve">J’ai construit dans le fichier de travail, par formules et</w:t>
      </w:r>
      <w:r>
        <w:t xml:space="preserve"> </w:t>
      </w:r>
      <w:r>
        <w:t xml:space="preserve">sur le même principe de numérotation séquentielle que les feuilles de sortie, le corps</w:t>
      </w:r>
      <w:r>
        <w:t xml:space="preserve"> </w:t>
      </w:r>
      <w:r>
        <w:t xml:space="preserve">de chaque requête à partir des données présentes dans la feuille</w:t>
      </w:r>
      <w:r>
        <w:t xml:space="preserve"> </w:t>
      </w:r>
      <w:r>
        <w:rPr>
          <w:rStyle w:val="VerbatimChar"/>
        </w:rPr>
        <w:t xml:space="preserve">Builder coordonnée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Constitution de la collection.</w:t>
      </w:r>
      <w:r>
        <w:t xml:space="preserve"> </w:t>
      </w:r>
      <w:r>
        <w:t xml:space="preserve">J’ai regroupé ces requêtes dans une collection</w:t>
      </w:r>
      <w:r>
        <w:t xml:space="preserve"> </w:t>
      </w:r>
      <w:r>
        <w:t xml:space="preserve">Postman, l’outil de test et d’exécution de requêtes. La collection compte</w:t>
      </w:r>
      <w:r>
        <w:t xml:space="preserve"> </w:t>
      </w:r>
      <w:r>
        <w:rPr>
          <w:bCs/>
          <w:b/>
        </w:rPr>
        <w:t xml:space="preserve">872 requêtes PATCH</w:t>
      </w:r>
      <w:r>
        <w:t xml:space="preserve">, organisées en cinq lots correspondant aux cinq fichiers d’import</w:t>
      </w:r>
      <w:r>
        <w:t xml:space="preserve"> </w:t>
      </w:r>
      <w:r>
        <w:t xml:space="preserve">de couples.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Exécution et contrôle.</w:t>
      </w:r>
      <w:r>
        <w:t xml:space="preserve"> </w:t>
      </w:r>
      <w:r>
        <w:t xml:space="preserve">Les cinq lots ont été exécutés après la création des couples,</w:t>
      </w:r>
      <w:r>
        <w:t xml:space="preserve"> </w:t>
      </w:r>
      <w:r>
        <w:t xml:space="preserve">et l’intégralité des 872 requêtes est passée sans erreur.</w:t>
      </w:r>
    </w:p>
    <w:p>
      <w:pPr>
        <w:pStyle w:val="FirstParagraph"/>
      </w:pPr>
      <w:r>
        <w:rPr>
          <w:bCs/>
          <w:b/>
        </w:rPr>
        <w:t xml:space="preserve">[Emplacement réservé pour une figure — capture d’écran de la collection Postman :</w:t>
      </w:r>
      <w:r>
        <w:rPr>
          <w:bCs/>
          <w:b/>
        </w:rPr>
        <w:t xml:space="preserve"> </w:t>
      </w:r>
      <w:r>
        <w:rPr>
          <w:bCs/>
          <w:b/>
        </w:rPr>
        <w:t xml:space="preserve">arborescence des cinq lots et vue d’une requête PATCH sur son onglet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Body</w:t>
      </w:r>
      <w:r>
        <w:rPr>
          <w:bCs/>
          <w:b/>
        </w:rPr>
        <w:t xml:space="preserve">, montrant la</w:t>
      </w:r>
      <w:r>
        <w:rPr>
          <w:bCs/>
          <w:b/>
        </w:rPr>
        <w:t xml:space="preserve"> </w:t>
      </w:r>
      <w:r>
        <w:rPr>
          <w:bCs/>
          <w:b/>
        </w:rPr>
        <w:t xml:space="preserve">structure JSON Patch. Masquer l’adresse du serveur et les identifiants, comme sur la</w:t>
      </w:r>
      <w:r>
        <w:rPr>
          <w:bCs/>
          <w:b/>
        </w:rPr>
        <w:t xml:space="preserve"> </w:t>
      </w:r>
      <w:r>
        <w:rPr>
          <w:bCs/>
          <w:b/>
        </w:rPr>
        <w:t xml:space="preserve">Figure 1.2. À insérer ici, avec renumérotation des figures suivantes.]</w:t>
      </w:r>
    </w:p>
    <w:p>
      <w:pPr>
        <w:pStyle w:val="BodyText"/>
      </w:pPr>
      <w:r>
        <w:t xml:space="preserve">Ce contournement m’a appris quelque chose que je n’avais pas formulé aussi clairement</w:t>
      </w:r>
      <w:r>
        <w:t xml:space="preserve"> </w:t>
      </w:r>
      <w:r>
        <w:t xml:space="preserve">jusque-là : dans un projet de reprise, la limite d’un format d’import n’est pas</w:t>
      </w:r>
      <w:r>
        <w:t xml:space="preserve"> </w:t>
      </w:r>
      <w:r>
        <w:t xml:space="preserve">nécessairement une limite du système. Le fichier plat et l’API sont deux portes d’entrée</w:t>
      </w:r>
      <w:r>
        <w:t xml:space="preserve"> </w:t>
      </w:r>
      <w:r>
        <w:t xml:space="preserve">vers le même modèle de données, et elles n’offrent pas les mêmes possibilités. Savoir</w:t>
      </w:r>
      <w:r>
        <w:t xml:space="preserve"> </w:t>
      </w:r>
      <w:r>
        <w:t xml:space="preserve">basculer de l’une à l’autre au bon moment, plutôt que d’accepter une perte de données ou de</w:t>
      </w:r>
      <w:r>
        <w:t xml:space="preserve"> </w:t>
      </w:r>
      <w:r>
        <w:t xml:space="preserve">retomber dans la saisie manuelle, est une compétence que la reprise du premier semestre</w:t>
      </w:r>
      <w:r>
        <w:t xml:space="preserve"> </w:t>
      </w:r>
      <w:r>
        <w:t xml:space="preserve">n’avait pas eu l’occasion de mobiliser.</w:t>
      </w:r>
    </w:p>
    <w:bookmarkEnd w:id="43"/>
    <w:bookmarkEnd w:id="44"/>
    <w:bookmarkStart w:id="45" w:name="X743e9e8b4641d249535407cbe173e083d55b539"/>
    <w:p>
      <w:pPr>
        <w:pStyle w:val="Heading2"/>
      </w:pPr>
      <w:r>
        <w:t xml:space="preserve">1.5 Traitement des cas particuliers et arbitrages</w:t>
      </w:r>
    </w:p>
    <w:p>
      <w:pPr>
        <w:pStyle w:val="FirstParagraph"/>
      </w:pPr>
      <w:r>
        <w:t xml:space="preserve">Aussi automatisée soit-elle, une reprise de données laisse toujours un résidu de cas qui ne</w:t>
      </w:r>
      <w:r>
        <w:t xml:space="preserve"> </w:t>
      </w:r>
      <w:r>
        <w:t xml:space="preserve">rentrent dans aucune règle. Les traiter est moins spectaculaire que de concevoir un</w:t>
      </w:r>
      <w:r>
        <w:t xml:space="preserve"> </w:t>
      </w:r>
      <w:r>
        <w:t xml:space="preserve">mécanisme de déduplication, mais c’est une part réelle du travail, et surtout une part qui</w:t>
      </w:r>
      <w:r>
        <w:t xml:space="preserve"> </w:t>
      </w:r>
      <w:r>
        <w:t xml:space="preserve">engage une décision. J’ai tenu à documenter chacun de ces arbitrages dans la note de</w:t>
      </w:r>
      <w:r>
        <w:t xml:space="preserve"> </w:t>
      </w:r>
      <w:r>
        <w:t xml:space="preserve">procédure, pour que la trace en subsiste indépendamment de moi.</w:t>
      </w:r>
    </w:p>
    <w:p>
      <w:pPr>
        <w:pStyle w:val="BodyText"/>
      </w:pPr>
      <w:r>
        <w:rPr>
          <w:bCs/>
          <w:b/>
        </w:rPr>
        <w:t xml:space="preserve">Les adresses étrangères :</w:t>
      </w:r>
      <w:r>
        <w:t xml:space="preserve"> </w:t>
      </w:r>
      <w:r>
        <w:t xml:space="preserve">Quelques acquéreurs résidaient hors de France, en Allemagne</w:t>
      </w:r>
      <w:r>
        <w:t xml:space="preserve"> </w:t>
      </w:r>
      <w:r>
        <w:t xml:space="preserve">et aux Émirats arabes unis. SPO refusait initialement la création d’un tiers avec un pays</w:t>
      </w:r>
      <w:r>
        <w:t xml:space="preserve"> </w:t>
      </w:r>
      <w:r>
        <w:t xml:space="preserve">étranger renseigné directement dans le fichier d’import. Plutôt que de bloquer la chaîne</w:t>
      </w:r>
      <w:r>
        <w:t xml:space="preserve"> </w:t>
      </w:r>
      <w:r>
        <w:t xml:space="preserve">pour ces quelques cas, nous avons choisi de les créer avec le pays France par défaut, puis</w:t>
      </w:r>
      <w:r>
        <w:t xml:space="preserve"> </w:t>
      </w:r>
      <w:r>
        <w:t xml:space="preserve">de rectifier le pays manuellement dans l’ERP après création, en vérifiant à chaque fois que</w:t>
      </w:r>
      <w:r>
        <w:t xml:space="preserve"> </w:t>
      </w:r>
      <w:r>
        <w:t xml:space="preserve">la modification était bien prise en compte. C’est un compromis assumé : il fait passer une</w:t>
      </w:r>
      <w:r>
        <w:t xml:space="preserve"> </w:t>
      </w:r>
      <w:r>
        <w:t xml:space="preserve">information provisoirement fausse dans le système, mais sur un périmètre connu, listé, et</w:t>
      </w:r>
      <w:r>
        <w:t xml:space="preserve"> </w:t>
      </w:r>
      <w:r>
        <w:t xml:space="preserve">corrigé dans la foulée.</w:t>
      </w:r>
    </w:p>
    <w:p>
      <w:pPr>
        <w:pStyle w:val="BodyText"/>
      </w:pPr>
      <w:r>
        <w:rPr>
          <w:bCs/>
          <w:b/>
        </w:rPr>
        <w:t xml:space="preserve">Les tiers mal classés :</w:t>
      </w:r>
      <w:r>
        <w:t xml:space="preserve"> </w:t>
      </w:r>
      <w:r>
        <w:t xml:space="preserve">Trois tiers étaient renseignés dans Vadimm avec une nature qui</w:t>
      </w:r>
      <w:r>
        <w:t xml:space="preserve"> </w:t>
      </w:r>
      <w:r>
        <w:t xml:space="preserve">ne correspondait pas à la réalité. Deux étaient enregistrés comme personnes physiques alors</w:t>
      </w:r>
      <w:r>
        <w:t xml:space="preserve"> </w:t>
      </w:r>
      <w:r>
        <w:t xml:space="preserve">qu’il s’agissait de sociétés, et un troisième comme personne physique alors qu’il</w:t>
      </w:r>
      <w:r>
        <w:t xml:space="preserve"> </w:t>
      </w:r>
      <w:r>
        <w:t xml:space="preserve">s’agissait d’un couple mal saisi. J’ai modifié manuellement leur nature dans la feuille</w:t>
      </w:r>
      <w:r>
        <w:t xml:space="preserve"> </w:t>
      </w:r>
      <w:r>
        <w:t xml:space="preserve">pivot avant génération des fichiers, ce qui a suffi à ce qu’ils soient créés correctement,</w:t>
      </w:r>
      <w:r>
        <w:t xml:space="preserve"> </w:t>
      </w:r>
      <w:r>
        <w:t xml:space="preserve">puisque la nature commande à la fois la clé d’unicité et la feuille de sortie qui les</w:t>
      </w:r>
      <w:r>
        <w:t xml:space="preserve"> </w:t>
      </w:r>
      <w:r>
        <w:t xml:space="preserve">reçoit. L’un d’eux, en revanche, était déjà créé dans SPO par un autre canal : il a été</w:t>
      </w:r>
      <w:r>
        <w:t xml:space="preserve"> </w:t>
      </w:r>
      <w:r>
        <w:t xml:space="preserve">retiré du fichier d’import plutôt que reclassé.</w:t>
      </w:r>
    </w:p>
    <w:p>
      <w:pPr>
        <w:pStyle w:val="BodyText"/>
      </w:pPr>
      <w:r>
        <w:rPr>
          <w:bCs/>
          <w:b/>
        </w:rPr>
        <w:t xml:space="preserve">Les exclusions ponctuelles :</w:t>
      </w:r>
      <w:r>
        <w:t xml:space="preserve"> </w:t>
      </w:r>
      <w:r>
        <w:t xml:space="preserve">Un tiers relevant d’une opération de dation, c’est-à-dire</w:t>
      </w:r>
      <w:r>
        <w:t xml:space="preserve"> </w:t>
      </w:r>
      <w:r>
        <w:t xml:space="preserve">d’un paiement en biens plutôt qu’en numéraire, existait déjà dans SPO et a été retiré du</w:t>
      </w:r>
      <w:r>
        <w:t xml:space="preserve"> </w:t>
      </w:r>
      <w:r>
        <w:t xml:space="preserve">fichier.</w:t>
      </w:r>
    </w:p>
    <w:p>
      <w:pPr>
        <w:pStyle w:val="BodyText"/>
      </w:pPr>
      <w:r>
        <w:rPr>
          <w:bCs/>
          <w:b/>
        </w:rPr>
        <w:t xml:space="preserve">Les doublons avec adresses divergentes :</w:t>
      </w:r>
      <w:r>
        <w:t xml:space="preserve"> </w:t>
      </w:r>
      <w:r>
        <w:t xml:space="preserve">Deux cas ont demandé un arbitrage véritable.</w:t>
      </w:r>
      <w:r>
        <w:t xml:space="preserve"> </w:t>
      </w:r>
      <w:r>
        <w:t xml:space="preserve">Une même personne y apparaissait deux fois avec deux adresses différentes, sans qu’il soit</w:t>
      </w:r>
      <w:r>
        <w:t xml:space="preserve"> </w:t>
      </w:r>
      <w:r>
        <w:t xml:space="preserve">possible de déterminer automatiquement laquelle retenir : la déduplication savait dire</w:t>
      </w:r>
      <w:r>
        <w:t xml:space="preserve"> </w:t>
      </w:r>
      <w:r>
        <w:t xml:space="preserve">qu’il s’agissait de la même personne, elle ne pouvait pas dire où cette personne habite</w:t>
      </w:r>
      <w:r>
        <w:t xml:space="preserve"> </w:t>
      </w:r>
      <w:r>
        <w:t xml:space="preserve">aujourd’hui. L’explication la plus vraisemblable était un déménagement entre deux achats.</w:t>
      </w:r>
      <w:r>
        <w:t xml:space="preserve"> </w:t>
      </w:r>
      <w:r>
        <w:t xml:space="preserve">Après vérification des dates dans Vadimm, nous avons tranché en conservant l’adresse</w:t>
      </w:r>
      <w:r>
        <w:t xml:space="preserve"> </w:t>
      </w:r>
      <w:r>
        <w:t xml:space="preserve">rattachée à la vente la plus récente.</w:t>
      </w:r>
    </w:p>
    <w:p>
      <w:pPr>
        <w:pStyle w:val="BodyText"/>
      </w:pPr>
      <w:r>
        <w:t xml:space="preserve">Ces cas sont peu nombreux au regard des 1 434 tiers créés, et il serait tentant de les</w:t>
      </w:r>
      <w:r>
        <w:t xml:space="preserve"> </w:t>
      </w:r>
      <w:r>
        <w:t xml:space="preserve">présenter comme des détails. Je crois au contraire qu’ils délimitent précisément ce que</w:t>
      </w:r>
      <w:r>
        <w:t xml:space="preserve"> </w:t>
      </w:r>
      <w:r>
        <w:t xml:space="preserve">l’automatisation peut et ne peut pas faire. Les formules savent appliquer une règle ;</w:t>
      </w:r>
      <w:r>
        <w:t xml:space="preserve"> </w:t>
      </w:r>
      <w:r>
        <w:t xml:space="preserve">elles ne savent pas décider laquelle de deux adresses également plausibles est la bonne.</w:t>
      </w:r>
      <w:r>
        <w:t xml:space="preserve"> </w:t>
      </w:r>
      <w:r>
        <w:t xml:space="preserve">La valeur du fichier de travail n’est pas d’avoir supprimé la décision humaine, mais de</w:t>
      </w:r>
      <w:r>
        <w:t xml:space="preserve"> </w:t>
      </w:r>
      <w:r>
        <w:t xml:space="preserve">l’avoir concentrée sur une poignée de cas identifiés, au lieu de la diluer sur 1 602 lignes.</w:t>
      </w:r>
    </w:p>
    <w:bookmarkEnd w:id="45"/>
    <w:bookmarkStart w:id="49" w:name="X456fd8e6f45575d4ba8758ce3c88b742be63010"/>
    <w:p>
      <w:pPr>
        <w:pStyle w:val="Heading2"/>
      </w:pPr>
      <w:r>
        <w:t xml:space="preserve">1.6 Bilan de l’import et points de vigilance pour la suite</w:t>
      </w:r>
    </w:p>
    <w:p>
      <w:pPr>
        <w:pStyle w:val="FirstParagraph"/>
      </w:pPr>
      <w:r>
        <w:t xml:space="preserve">L’intégralité des imports CSV et des requêtes PATCH a été exécutée avec succès. Le tableau</w:t>
      </w:r>
      <w:r>
        <w:t xml:space="preserve"> </w:t>
      </w:r>
      <w:r>
        <w:t xml:space="preserve">suivant récapitule ce qui a été créé dans SPO.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800"/>
        <w:gridCol w:w="96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Objet créé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1 434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Adresses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Courriels des personnes physiques et morales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Téléphones des personnes physiques et morales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Représentants des couples et des sociétés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1 871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Rôles « Client 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1 434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Coordonnées des couples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872 requêtes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Requêtes PATCH</w:t>
            </w:r>
          </w:p>
        </w:tc>
      </w:tr>
    </w:tbl>
    <w:p>
      <w:pPr>
        <w:pStyle w:val="BodyText"/>
      </w:pPr>
      <w:r>
        <w:t xml:space="preserve">Les 1 434 tiers créés se répartissent en</w:t>
      </w:r>
      <w:r>
        <w:t xml:space="preserve"> </w:t>
      </w:r>
      <w:r>
        <w:rPr>
          <w:bCs/>
          <w:b/>
        </w:rPr>
        <w:t xml:space="preserve">881 couples</w:t>
      </w:r>
      <w:r>
        <w:t xml:space="preserve">,</w:t>
      </w:r>
      <w:r>
        <w:t xml:space="preserve"> </w:t>
      </w:r>
      <w:r>
        <w:rPr>
          <w:bCs/>
          <w:b/>
        </w:rPr>
        <w:t xml:space="preserve">462 personnes physiques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91 personnes morales</w:t>
      </w:r>
      <w:r>
        <w:t xml:space="preserve">, répartition que représente la Figure 1.5. Cette structure n’est</w:t>
      </w:r>
      <w:r>
        <w:t xml:space="preserve"> </w:t>
      </w:r>
      <w:r>
        <w:t xml:space="preserve">pas un simple constat de volumétrie : elle justifie a posteriori l’attention portée au</w:t>
      </w:r>
      <w:r>
        <w:t xml:space="preserve"> </w:t>
      </w:r>
      <w:r>
        <w:t xml:space="preserve">traitement des couples, qui représentent plus de six tiers sur dix et concentrent à eux</w:t>
      </w:r>
      <w:r>
        <w:t xml:space="preserve"> </w:t>
      </w:r>
      <w:r>
        <w:t xml:space="preserve">seuls la contrainte de format qui a imposé le recours à l’API.</w:t>
      </w:r>
    </w:p>
    <w:p>
      <w:pPr>
        <w:pStyle w:val="CaptionedFigure"/>
      </w:pPr>
      <w:r>
        <w:drawing>
          <wp:inline>
            <wp:extent cx="4907280" cy="1972057"/>
            <wp:effectExtent b="0" l="0" r="0" t="0"/>
            <wp:docPr descr="Répartition des 1 434 tiers créés selon leur nature" title="" id="47" name="Picture"/>
            <a:graphic>
              <a:graphicData uri="http://schemas.openxmlformats.org/drawingml/2006/picture">
                <pic:pic>
                  <pic:nvPicPr>
                    <pic:cNvPr descr="figures/fig_1_5_repartition_natures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1972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1.5 – Répartition des 1 434 tiers créés selon leur nature</w:t>
      </w:r>
    </w:p>
    <w:p>
      <w:pPr>
        <w:pStyle w:val="BodyText"/>
      </w:pPr>
      <w:r>
        <w:rPr>
          <w:bCs/>
          <w:b/>
        </w:rPr>
        <w:t xml:space="preserve">[Emplacement réservé pour une figure — capture d’écran d’une fiche de couple dans SPO,</w:t>
      </w:r>
      <w:r>
        <w:rPr>
          <w:bCs/>
          <w:b/>
        </w:rPr>
        <w:t xml:space="preserve"> </w:t>
      </w:r>
      <w:r>
        <w:rPr>
          <w:bCs/>
          <w:b/>
        </w:rPr>
        <w:t xml:space="preserve">onglet des représentants ouvert, montrant les deux personnes du couple et les coordonnées</w:t>
      </w:r>
      <w:r>
        <w:rPr>
          <w:bCs/>
          <w:b/>
        </w:rPr>
        <w:t xml:space="preserve"> </w:t>
      </w:r>
      <w:r>
        <w:rPr>
          <w:bCs/>
          <w:b/>
        </w:rPr>
        <w:t xml:space="preserve">ajoutées par requête PATCH sur l’une d’elles. Anonymiser les noms. À insérer ici.]</w:t>
      </w:r>
    </w:p>
    <w:p>
      <w:pPr>
        <w:pStyle w:val="BodyText"/>
      </w:pPr>
      <w:r>
        <w:t xml:space="preserve">Au-delà du résultat, ce projet m’a laissé un ensemble de points de vigilance que j’ai</w:t>
      </w:r>
      <w:r>
        <w:t xml:space="preserve"> </w:t>
      </w:r>
      <w:r>
        <w:t xml:space="preserve">documentés et qui valent, je crois, bien au-delà du cas de cet import.</w:t>
      </w:r>
    </w:p>
    <w:p>
      <w:pPr>
        <w:pStyle w:val="BodyText"/>
      </w:pPr>
      <w:r>
        <w:t xml:space="preserve">Le premier concerne l’usage du fichier lui-même. Quatre manipulations le cassent</w:t>
      </w:r>
      <w:r>
        <w:t xml:space="preserve"> </w:t>
      </w:r>
      <w:r>
        <w:t xml:space="preserve">silencieusement : modifier une feuille de sortie, dont le contenu est régénéré à chaque</w:t>
      </w:r>
      <w:r>
        <w:t xml:space="preserve"> </w:t>
      </w:r>
      <w:r>
        <w:t xml:space="preserve">recalcul ; modifier les colonnes calculées de la feuille pivot, qui portent toute la logique</w:t>
      </w:r>
      <w:r>
        <w:t xml:space="preserve"> </w:t>
      </w:r>
      <w:r>
        <w:t xml:space="preserve">de rang et de numérotation ; insérer une ligne au milieu de la feuille pivot ou de la</w:t>
      </w:r>
      <w:r>
        <w:t xml:space="preserve"> </w:t>
      </w:r>
      <w:r>
        <w:t xml:space="preserve">feuille de coordonnées, ce qui décale toutes les références ; et trier la feuille pivot, ce</w:t>
      </w:r>
      <w:r>
        <w:t xml:space="preserve"> </w:t>
      </w:r>
      <w:r>
        <w:t xml:space="preserve">qui détruit la logique de rang, celle-ci étant calculée de façon cumulative sur l’ordre des</w:t>
      </w:r>
      <w:r>
        <w:t xml:space="preserve"> </w:t>
      </w:r>
      <w:r>
        <w:t xml:space="preserve">lignes. Aucune de ces quatre manipulations ne produit de message d’erreur, les rendant</w:t>
      </w:r>
      <w:r>
        <w:t xml:space="preserve"> </w:t>
      </w:r>
      <w:r>
        <w:t xml:space="preserve">d’autant plus dangereuses. C’est la raison pour laquelle la note de procédure les mentionne avant même</w:t>
      </w:r>
      <w:r>
        <w:t xml:space="preserve"> </w:t>
      </w:r>
      <w:r>
        <w:t xml:space="preserve">d’expliquer comment utiliser le fichier.</w:t>
      </w:r>
    </w:p>
    <w:p>
      <w:pPr>
        <w:pStyle w:val="BodyText"/>
      </w:pPr>
      <w:r>
        <w:t xml:space="preserve">Le second concerne un ensemble de pièges techniques que j’ai rencontrés en construisant les</w:t>
      </w:r>
      <w:r>
        <w:t xml:space="preserve"> </w:t>
      </w:r>
      <w:r>
        <w:t xml:space="preserve">formules, et qui ont chacun coûté du temps de recherche avant d’être compris 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Le comptage des chaînes vides.</w:t>
      </w:r>
      <w:r>
        <w:t xml:space="preserve"> </w:t>
      </w:r>
      <w:r>
        <w:t xml:space="preserve">Une formule de comptage conditionnel considère comme</w:t>
      </w:r>
      <w:r>
        <w:t xml:space="preserve"> </w:t>
      </w:r>
      <w:r>
        <w:t xml:space="preserve">une valeur la chaîne vide renvoyée par une autre formule. Les compteurs de contrôle</w:t>
      </w:r>
      <w:r>
        <w:t xml:space="preserve"> </w:t>
      </w:r>
      <w:r>
        <w:t xml:space="preserve">étaient donc systématiquement surévalués, jusqu’à ce que je restreigne le comptage aux</w:t>
      </w:r>
      <w:r>
        <w:t xml:space="preserve"> </w:t>
      </w:r>
      <w:r>
        <w:t xml:space="preserve">seules valeurs textuelles réelles.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Le format des dates.</w:t>
      </w:r>
      <w:r>
        <w:t xml:space="preserve"> </w:t>
      </w:r>
      <w:r>
        <w:t xml:space="preserve">Le code de mise en forme des mois peut être interprété comme</w:t>
      </w:r>
      <w:r>
        <w:t xml:space="preserve"> </w:t>
      </w:r>
      <w:r>
        <w:t xml:space="preserve">un code de minutes selon le contexte, produisant des clés de déduplication fausses</w:t>
      </w:r>
      <w:r>
        <w:t xml:space="preserve"> </w:t>
      </w:r>
      <w:r>
        <w:t xml:space="preserve">sans qu’aucune erreur soit signalée. J’ai remplacé toute mise en forme globale par une</w:t>
      </w:r>
      <w:r>
        <w:t xml:space="preserve"> </w:t>
      </w:r>
      <w:r>
        <w:t xml:space="preserve">recomposition explicite de l’année, du mois et du jour.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Les heures parasites dans les dates de naissance.</w:t>
      </w:r>
      <w:r>
        <w:t xml:space="preserve"> </w:t>
      </w:r>
      <w:r>
        <w:t xml:space="preserve">Certaines dates issues de</w:t>
      </w:r>
      <w:r>
        <w:t xml:space="preserve"> </w:t>
      </w:r>
      <w:r>
        <w:t xml:space="preserve">l’extraction portaient une heure non nulle, d’autres non. Deux dates identiques à</w:t>
      </w:r>
      <w:r>
        <w:t xml:space="preserve"> </w:t>
      </w:r>
      <w:r>
        <w:t xml:space="preserve">l’affichage étaient donc considérées comme différentes par le tableur, cassant la</w:t>
      </w:r>
      <w:r>
        <w:t xml:space="preserve"> </w:t>
      </w:r>
      <w:r>
        <w:t xml:space="preserve">déduplication des personnes physiques. La normalisation systématique des dates à</w:t>
      </w:r>
      <w:r>
        <w:t xml:space="preserve"> </w:t>
      </w:r>
      <w:r>
        <w:t xml:space="preserve">minuit a réglé le problème.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La différence entre cellule vide et chaîne vide.</w:t>
      </w:r>
      <w:r>
        <w:t xml:space="preserve"> </w:t>
      </w:r>
      <w:r>
        <w:t xml:space="preserve">Une cellule contenant une formule</w:t>
      </w:r>
      <w:r>
        <w:t xml:space="preserve"> </w:t>
      </w:r>
      <w:r>
        <w:t xml:space="preserve">qui renvoie une chaîne vide n’est pas une cellule vide, et les tests de vacuité ne la</w:t>
      </w:r>
      <w:r>
        <w:t xml:space="preserve"> </w:t>
      </w:r>
      <w:r>
        <w:t xml:space="preserve">détectent pas comme telle. Cette confusion est à l’origine de plusieurs faux positifs</w:t>
      </w:r>
      <w:r>
        <w:t xml:space="preserve"> </w:t>
      </w:r>
      <w:r>
        <w:t xml:space="preserve">dans les premières versions des formules d’exclusion.</w:t>
      </w:r>
    </w:p>
    <w:p>
      <w:pPr>
        <w:pStyle w:val="FirstParagraph"/>
      </w:pPr>
      <w:r>
        <w:t xml:space="preserve">Ces quatre points ont un dénominateur commun, et c’est l’enseignement principal que j’en</w:t>
      </w:r>
      <w:r>
        <w:t xml:space="preserve"> </w:t>
      </w:r>
      <w:r>
        <w:t xml:space="preserve">tire : dans une chaîne de traitement par formules, l’erreur ne se manifeste presque jamais</w:t>
      </w:r>
      <w:r>
        <w:t xml:space="preserve"> </w:t>
      </w:r>
      <w:r>
        <w:t xml:space="preserve">par un message d’erreur. Elle se manifeste par un compteur qui ne tombe pas juste. C’est</w:t>
      </w:r>
      <w:r>
        <w:t xml:space="preserve"> </w:t>
      </w:r>
      <w:r>
        <w:t xml:space="preserve">pourquoi j’ai ajouté à la feuille pivot un panneau de contrôle affichant en permanence les</w:t>
      </w:r>
      <w:r>
        <w:t xml:space="preserve"> </w:t>
      </w:r>
      <w:r>
        <w:t xml:space="preserve">compteurs clés, et pourquoi la procédure impose de les vérifier avant tout export : tout</w:t>
      </w:r>
      <w:r>
        <w:t xml:space="preserve"> </w:t>
      </w:r>
      <w:r>
        <w:t xml:space="preserve">écart entre ces compteurs et les valeurs attendues signale un problème à investiguer avant</w:t>
      </w:r>
      <w:r>
        <w:t xml:space="preserve"> </w:t>
      </w:r>
      <w:r>
        <w:t xml:space="preserve">d’aller plus loin. Ce panneau est le seul dispositif de détection dont je disposais, et il</w:t>
      </w:r>
      <w:r>
        <w:t xml:space="preserve"> </w:t>
      </w:r>
      <w:r>
        <w:t xml:space="preserve">a effectivement révélé plusieurs anomalies que rien d’autre n’aurait signalées.</w:t>
      </w:r>
    </w:p>
    <w:p>
      <w:pPr>
        <w:pStyle w:val="BodyText"/>
      </w:pPr>
      <w:r>
        <w:t xml:space="preserve">Un dernier point de vigilance relève de la performance. Le fichier comporte environ 60 000</w:t>
      </w:r>
      <w:r>
        <w:t xml:space="preserve"> </w:t>
      </w:r>
      <w:r>
        <w:t xml:space="preserve">cellules de formules, rendant le recalcul automatique pénible pendant les phases de</w:t>
      </w:r>
      <w:r>
        <w:t xml:space="preserve"> </w:t>
      </w:r>
      <w:r>
        <w:t xml:space="preserve">modification. Basculer en calcul manuel pendant le travail, puis forcer un recalcul complet</w:t>
      </w:r>
      <w:r>
        <w:t xml:space="preserve"> </w:t>
      </w:r>
      <w:r>
        <w:t xml:space="preserve">avant chaque export, est la manière de travailler que j’ai retenue et que la procédure</w:t>
      </w:r>
      <w:r>
        <w:t xml:space="preserve"> </w:t>
      </w:r>
      <w:r>
        <w:t xml:space="preserve">recommande.</w:t>
      </w:r>
    </w:p>
    <w:p>
      <w:r>
        <w:br w:type="page"/>
      </w:r>
    </w:p>
    <w:p>
      <w:pPr>
        <w:pStyle w:val="BodyText"/>
      </w:pPr>
      <w:r>
        <w:t xml:space="preserve">Cette reprise des tiers achève, pour la partie qui me revenait, le travail de constitution</w:t>
      </w:r>
      <w:r>
        <w:t xml:space="preserve"> </w:t>
      </w:r>
      <w:r>
        <w:t xml:space="preserve">du socle de données du nouvel ERP. Après les opérations et leurs tranches migrées au</w:t>
      </w:r>
      <w:r>
        <w:t xml:space="preserve"> </w:t>
      </w:r>
      <w:r>
        <w:t xml:space="preserve">premier semestre, les 1 434 clients acquéreurs disposent désormais dans SPO d’une fiche</w:t>
      </w:r>
      <w:r>
        <w:t xml:space="preserve"> </w:t>
      </w:r>
      <w:r>
        <w:t xml:space="preserve">unique, correctement typée, dotée de ses coordonnées, de ses représentants et de son rôle.</w:t>
      </w:r>
      <w:r>
        <w:t xml:space="preserve"> </w:t>
      </w:r>
      <w:r>
        <w:t xml:space="preserve">Le référentiel commercial du groupe est reconstitué, et il l’est selon des règles écrites,</w:t>
      </w:r>
      <w:r>
        <w:t xml:space="preserve"> </w:t>
      </w:r>
      <w:r>
        <w:t xml:space="preserve">tracées et rejouables plutôt que par une saisie dont personne n’aurait pu, six mois plus</w:t>
      </w:r>
      <w:r>
        <w:t xml:space="preserve"> </w:t>
      </w:r>
      <w:r>
        <w:t xml:space="preserve">tard, reconstituer la logique.</w:t>
      </w:r>
    </w:p>
    <w:p>
      <w:pPr>
        <w:pStyle w:val="BodyText"/>
      </w:pPr>
      <w:r>
        <w:t xml:space="preserve">Néanmoins, il serait excessif de présenter ce chantier comme achevé. La reprise des</w:t>
      </w:r>
      <w:r>
        <w:t xml:space="preserve"> </w:t>
      </w:r>
      <w:r>
        <w:t xml:space="preserve">historiques budgétaires reste devant nous, et le fichier de travail devra probablement être</w:t>
      </w:r>
      <w:r>
        <w:t xml:space="preserve"> </w:t>
      </w:r>
      <w:r>
        <w:t xml:space="preserve">rejoué au moins une fois avant la bascule définitive, à mesure que de nouveaux tiers sont</w:t>
      </w:r>
      <w:r>
        <w:t xml:space="preserve"> </w:t>
      </w:r>
      <w:r>
        <w:t xml:space="preserve">créés dans l’ERP par les équipes commerciales. Le référentiel client est en revanche</w:t>
      </w:r>
      <w:r>
        <w:t xml:space="preserve"> </w:t>
      </w:r>
      <w:r>
        <w:t xml:space="preserve">stabilisé, et c’est lui qui conditionne la suite.</w:t>
      </w:r>
    </w:p>
    <w:p>
      <w:pPr>
        <w:pStyle w:val="BodyText"/>
      </w:pPr>
      <w:r>
        <w:t xml:space="preserve">Ce chapitre aura montré, je l’espère, que la valeur de ce travail ne se mesure pas au</w:t>
      </w:r>
      <w:r>
        <w:t xml:space="preserve"> </w:t>
      </w:r>
      <w:r>
        <w:t xml:space="preserve">nombre de lignes importées. Elle tient d’abord au choix des trois clés d’unicité, qui</w:t>
      </w:r>
      <w:r>
        <w:t xml:space="preserve"> </w:t>
      </w:r>
      <w:r>
        <w:t xml:space="preserve">décide de ce qu’est un client dans notre référentiel ; ensuite à la capacité à contourner</w:t>
      </w:r>
      <w:r>
        <w:t xml:space="preserve"> </w:t>
      </w:r>
      <w:r>
        <w:t xml:space="preserve">une limite de format en changeant de porte d’entrée vers le système ; enfin à la</w:t>
      </w:r>
      <w:r>
        <w:t xml:space="preserve"> </w:t>
      </w:r>
      <w:r>
        <w:t xml:space="preserve">documentation des arbitrages, qui rend la reprise vérifiable par quelqu’un d’autre que</w:t>
      </w:r>
      <w:r>
        <w:t xml:space="preserve"> </w:t>
      </w:r>
      <w:r>
        <w:t xml:space="preserve">celle qui l’a faite. Ces trois points relèvent de l’ingénierie des données plus que de la</w:t>
      </w:r>
      <w:r>
        <w:t xml:space="preserve"> </w:t>
      </w:r>
      <w:r>
        <w:t xml:space="preserve">saisie.</w:t>
      </w:r>
    </w:p>
    <w:p>
      <w:pPr>
        <w:pStyle w:val="BodyText"/>
      </w:pPr>
      <w:r>
        <w:t xml:space="preserve">Cette étape était aussi un prérequis. Je concluais mon mémoire de mi-parcours en avançant</w:t>
      </w:r>
      <w:r>
        <w:t xml:space="preserve"> </w:t>
      </w:r>
      <w:r>
        <w:t xml:space="preserve">que la qualité de l’architecture de données est le socle indispensable de toute</w:t>
      </w:r>
      <w:r>
        <w:t xml:space="preserve"> </w:t>
      </w:r>
      <w:r>
        <w:t xml:space="preserve">modélisation, et que le report de mon projet de Data Science au second semestre était moins</w:t>
      </w:r>
      <w:r>
        <w:t xml:space="preserve"> </w:t>
      </w:r>
      <w:r>
        <w:t xml:space="preserve">un retard qu’une conséquence logique de cet ordre des choses. Il est temps de le</w:t>
      </w:r>
      <w:r>
        <w:t xml:space="preserve"> </w:t>
      </w:r>
      <w:r>
        <w:t xml:space="preserve">démontrer plutôt que de l’affirmer. Le chapitre suivant présente le projet que ce socle a</w:t>
      </w:r>
      <w:r>
        <w:t xml:space="preserve"> </w:t>
      </w:r>
      <w:r>
        <w:t xml:space="preserve">rendu possible : le Copilote Financier, un outil d’aide à la décision construit sur les</w:t>
      </w:r>
      <w:r>
        <w:t xml:space="preserve"> </w:t>
      </w:r>
      <w:r>
        <w:t xml:space="preserve">données de gestion du groupe pour sa direction financière. On y verra que les mêmes</w:t>
      </w:r>
      <w:r>
        <w:t xml:space="preserve"> </w:t>
      </w:r>
      <w:r>
        <w:t xml:space="preserve">questions reviennent, déplacées d’un cran : comprendre ce que contient réellement un export</w:t>
      </w:r>
      <w:r>
        <w:t xml:space="preserve"> </w:t>
      </w:r>
      <w:r>
        <w:t xml:space="preserve">avant de le modéliser, écrire une définition une seule fois pour que tout le monde</w:t>
      </w:r>
      <w:r>
        <w:t xml:space="preserve"> </w:t>
      </w:r>
      <w:r>
        <w:t xml:space="preserve">consomme la même, et savoir dire ce qu’un résultat ne permet pas de conclure.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migration des tiers vers SPO</dc:title>
  <dc:creator>Yasmina Saoud</dc:creator>
  <dc:language>fr</dc:language>
  <cp:keywords/>
  <dcterms:created xsi:type="dcterms:W3CDTF">2026-08-18T07:26:12Z</dcterms:created>
  <dcterms:modified xsi:type="dcterms:W3CDTF">2026-08-18T07:26:12Z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hapoffset">
    <vt:lpwstr>0</vt:lpwstr>
  </property>
  <property fmtid="{D5CDD505-2E9C-101B-9397-08002B2CF9AE}" pid="3" name="date">
    <vt:lpwstr/>
  </property>
  <property fmtid="{D5CDD505-2E9C-101B-9397-08002B2CF9AE}" pid="4" name="output">
    <vt:lpwstr/>
  </property>
</Properties>
</file>