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7.png" ContentType="image/png"/>
  <Override PartName="/word/media/rId50.png" ContentType="image/png"/>
  <Override PartName="/word/media/rId59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</w:t>
      </w:r>
      <w:r>
        <w:t xml:space="preserve"> </w:t>
      </w:r>
      <w:r>
        <w:t xml:space="preserve">Copilote</w:t>
      </w:r>
      <w:r>
        <w:t xml:space="preserve"> </w:t>
      </w:r>
      <w:r>
        <w:t xml:space="preserve">Financier</w:t>
      </w:r>
      <w:r>
        <w:t xml:space="preserve"> </w:t>
      </w:r>
      <w:r>
        <w:t xml:space="preserve">:</w:t>
      </w:r>
      <w:r>
        <w:t xml:space="preserve"> </w:t>
      </w:r>
      <w:r>
        <w:t xml:space="preserve">un</w:t>
      </w:r>
      <w:r>
        <w:t xml:space="preserve"> </w:t>
      </w:r>
      <w:r>
        <w:t xml:space="preserve">outil</w:t>
      </w:r>
      <w:r>
        <w:t xml:space="preserve"> </w:t>
      </w:r>
      <w:r>
        <w:t xml:space="preserve">d’aide</w:t>
      </w:r>
      <w:r>
        <w:t xml:space="preserve"> </w:t>
      </w:r>
      <w:r>
        <w:t xml:space="preserve">à</w:t>
      </w:r>
      <w:r>
        <w:t xml:space="preserve"> </w:t>
      </w:r>
      <w:r>
        <w:t xml:space="preserve">la</w:t>
      </w:r>
      <w:r>
        <w:t xml:space="preserve"> </w:t>
      </w:r>
      <w:r>
        <w:t xml:space="preserve">décision</w:t>
      </w:r>
      <w:r>
        <w:t xml:space="preserve"> </w:t>
      </w:r>
      <w:r>
        <w:t xml:space="preserve">pour</w:t>
      </w:r>
      <w:r>
        <w:t xml:space="preserve"> </w:t>
      </w:r>
      <w:r>
        <w:t xml:space="preserve">le</w:t>
      </w:r>
      <w:r>
        <w:t xml:space="preserve"> </w:t>
      </w:r>
      <w:r>
        <w:t xml:space="preserve">pilotage</w:t>
      </w:r>
      <w:r>
        <w:t xml:space="preserve"> </w:t>
      </w:r>
      <w:r>
        <w:t xml:space="preserve">des</w:t>
      </w:r>
      <w:r>
        <w:t xml:space="preserve"> </w:t>
      </w:r>
      <w:r>
        <w:t xml:space="preserve">opérations</w:t>
      </w:r>
      <w:r>
        <w:t xml:space="preserve"> </w:t>
      </w:r>
      <w:r>
        <w:t xml:space="preserve">de</w:t>
      </w:r>
      <w:r>
        <w:t xml:space="preserve"> </w:t>
      </w:r>
      <w:r>
        <w:t xml:space="preserve">promotion</w:t>
      </w:r>
    </w:p>
    <w:p>
      <w:pPr>
        <w:pStyle w:val="Author"/>
      </w:pPr>
      <w:r>
        <w:t xml:space="preserve">Yasmina</w:t>
      </w:r>
      <w:r>
        <w:t xml:space="preserve"> </w:t>
      </w:r>
      <w:r>
        <w:t xml:space="preserve">Saoud</w:t>
      </w:r>
      <w:r>
        <w:t xml:space="preserve"> </w:t>
      </w:r>
      <w:r>
        <w:t xml:space="preserve">—</w:t>
      </w:r>
      <w:r>
        <w:t xml:space="preserve"> </w:t>
      </w:r>
      <w:r>
        <w:t xml:space="preserve">Master</w:t>
      </w:r>
      <w:r>
        <w:t xml:space="preserve"> </w:t>
      </w:r>
      <w:r>
        <w:t xml:space="preserve">MIASHS,</w:t>
      </w:r>
      <w:r>
        <w:t xml:space="preserve"> </w:t>
      </w:r>
      <w:r>
        <w:t xml:space="preserve">Université</w:t>
      </w:r>
      <w:r>
        <w:t xml:space="preserve"> </w:t>
      </w:r>
      <w:r>
        <w:t xml:space="preserve">Paul</w:t>
      </w:r>
      <w:r>
        <w:t xml:space="preserve"> </w:t>
      </w:r>
      <w:r>
        <w:t xml:space="preserve">Valéry</w:t>
      </w:r>
      <w:r>
        <w:t xml:space="preserve"> </w:t>
      </w:r>
      <w:r>
        <w:t xml:space="preserve">Montpellier</w:t>
      </w:r>
      <w:r>
        <w:t xml:space="preserve"> </w:t>
      </w:r>
      <w:r>
        <w:t xml:space="preserve">III</w:t>
      </w:r>
    </w:p>
    <w:p>
      <w:pPr>
        <w:pStyle w:val="Date"/>
      </w:pPr>
      <w:r>
        <w:t xml:space="preserve">Année</w:t>
      </w:r>
      <w:r>
        <w:t xml:space="preserve"> </w:t>
      </w:r>
      <w:r>
        <w:t xml:space="preserve">universitaire</w:t>
      </w:r>
      <w:r>
        <w:t xml:space="preserve"> </w:t>
      </w:r>
      <w:r>
        <w:t xml:space="preserve">2025-2026</w:t>
      </w:r>
    </w:p>
    <w:p>
      <w:pPr>
        <w:pStyle w:val="BlockText"/>
      </w:pPr>
      <w:r>
        <w:rPr>
          <w:bCs/>
          <w:b/>
        </w:rPr>
        <w:t xml:space="preserve">Note de rédaction.</w:t>
      </w:r>
      <w:r>
        <w:t xml:space="preserve"> </w:t>
      </w:r>
      <w:r>
        <w:t xml:space="preserve">Ce chapitre a été préparé avec l’aide d’un</w:t>
      </w:r>
      <w:r>
        <w:t xml:space="preserve"> </w:t>
      </w:r>
      <w:r>
        <w:t xml:space="preserve">assistant : c’est une base de travail factuelle, à reformuler avant</w:t>
      </w:r>
      <w:r>
        <w:t xml:space="preserve"> </w:t>
      </w:r>
      <w:r>
        <w:t xml:space="preserve">intégration au mémoire. Tous les chiffres proviennent des analyses</w:t>
      </w:r>
      <w:r>
        <w:t xml:space="preserve"> </w:t>
      </w:r>
      <w:r>
        <w:t xml:space="preserve">exécutées du projet (dépôt</w:t>
      </w:r>
      <w:r>
        <w:t xml:space="preserve"> </w:t>
      </w:r>
      <w:r>
        <w:rPr>
          <w:rStyle w:val="VerbatimChar"/>
        </w:rPr>
        <w:t xml:space="preserve">MemoireM2S2</w:t>
      </w:r>
      <w:r>
        <w:t xml:space="preserve">) — cet encadré est à retirer</w:t>
      </w:r>
      <w:r>
        <w:t xml:space="preserve"> </w:t>
      </w:r>
      <w:r>
        <w:t xml:space="preserve">lors de l’intégration.</w:t>
      </w:r>
    </w:p>
    <w:p>
      <w:pPr>
        <w:pStyle w:val="FirstParagraph"/>
      </w:pPr>
      <w:r>
        <w:t xml:space="preserve">Ce chapitre présente le projet Data Science annoncé dans mon mémoire de</w:t>
      </w:r>
      <w:r>
        <w:t xml:space="preserve"> </w:t>
      </w:r>
      <w:r>
        <w:t xml:space="preserve">mi-parcours : le « Copilote Financier », un outil d’aide à la décision</w:t>
      </w:r>
      <w:r>
        <w:t xml:space="preserve"> </w:t>
      </w:r>
      <w:r>
        <w:t xml:space="preserve">construit sur les données de gestion du groupe Angelotti pour sa direction</w:t>
      </w:r>
      <w:r>
        <w:t xml:space="preserve"> </w:t>
      </w:r>
      <w:r>
        <w:t xml:space="preserve">financière. La démarche suit un principe directeur que la taille des</w:t>
      </w:r>
      <w:r>
        <w:t xml:space="preserve"> </w:t>
      </w:r>
      <w:r>
        <w:t xml:space="preserve">données impose : 267 opérations et 32 Mo d’exports appellent un petit</w:t>
      </w:r>
      <w:r>
        <w:t xml:space="preserve"> </w:t>
      </w:r>
      <w:r>
        <w:t xml:space="preserve">nombre de méthodes simples, choisies chacune pour une question précise et</w:t>
      </w:r>
      <w:r>
        <w:t xml:space="preserve"> </w:t>
      </w:r>
      <w:r>
        <w:t xml:space="preserve">validées rigoureusement — pas un empilement de modèles. Le chapitre</w:t>
      </w:r>
      <w:r>
        <w:t xml:space="preserve"> </w:t>
      </w:r>
      <w:r>
        <w:t xml:space="preserve">déroule cette démarche : cadrage du besoin, constitution d’une base de</w:t>
      </w:r>
      <w:r>
        <w:t xml:space="preserve"> </w:t>
      </w:r>
      <w:r>
        <w:t xml:space="preserve">données fiable, puis trois axes de modélisation et leur restitution dans</w:t>
      </w:r>
      <w:r>
        <w:t xml:space="preserve"> </w:t>
      </w:r>
      <w:r>
        <w:t xml:space="preserve">une application destinée aux contrôleurs de gestion.</w:t>
      </w:r>
    </w:p>
    <w:bookmarkStart w:id="23" w:name="contexte"/>
    <w:p>
      <w:pPr>
        <w:pStyle w:val="Heading1"/>
      </w:pPr>
      <w:r>
        <w:t xml:space="preserve">Contexte</w:t>
      </w:r>
    </w:p>
    <w:p>
      <w:pPr>
        <w:pStyle w:val="FirstParagraph"/>
      </w:pPr>
      <w:r>
        <w:t xml:space="preserve">Le groupe Angelotti conçoit, finance et commercialise des programmes</w:t>
      </w:r>
      <w:r>
        <w:t xml:space="preserve"> </w:t>
      </w:r>
      <w:r>
        <w:t xml:space="preserve">immobiliers en Occitanie et en région PACA. Chaque opération de promotion</w:t>
      </w:r>
      <w:r>
        <w:t xml:space="preserve"> </w:t>
      </w:r>
      <w:r>
        <w:t xml:space="preserve">est portée par une société dédiée et vit sur un cycle long : un budget est</w:t>
      </w:r>
      <w:r>
        <w:t xml:space="preserve"> </w:t>
      </w:r>
      <w:r>
        <w:t xml:space="preserve">arrêté à l’engagement, puis le chantier et la commercialisation le font</w:t>
      </w:r>
      <w:r>
        <w:t xml:space="preserve"> </w:t>
      </w:r>
      <w:r>
        <w:t xml:space="preserve">dériver — appels d’offres plus chers qu’anticipé, désistements, rythme de</w:t>
      </w:r>
      <w:r>
        <w:t xml:space="preserve"> </w:t>
      </w:r>
      <w:r>
        <w:t xml:space="preserve">vente ralenti par la conjoncture. La direction financière pilote ces</w:t>
      </w:r>
      <w:r>
        <w:t xml:space="preserve"> </w:t>
      </w:r>
      <w:r>
        <w:t xml:space="preserve">dérives opération par opération, sur tableurs, sans vision transverse.</w:t>
      </w:r>
    </w:p>
    <w:bookmarkStart w:id="21" w:name="problème-métier"/>
    <w:p>
      <w:pPr>
        <w:pStyle w:val="Heading2"/>
      </w:pPr>
      <w:r>
        <w:t xml:space="preserve">Problème métier</w:t>
      </w:r>
    </w:p>
    <w:p>
      <w:pPr>
        <w:pStyle w:val="FirstParagraph"/>
      </w:pPr>
      <w:r>
        <w:t xml:space="preserve">Trois questions structurent les revues de gestion. Quelles opérations</w:t>
      </w:r>
      <w:r>
        <w:t xml:space="preserve"> </w:t>
      </w:r>
      <w:r>
        <w:t xml:space="preserve">examiner en priorité, parce que leur marge d’engagement dérive — sur quels</w:t>
      </w:r>
      <w:r>
        <w:t xml:space="preserve"> </w:t>
      </w:r>
      <w:r>
        <w:t xml:space="preserve">postes, pour combien d’euros ? Quel rythme de vente budgéter pour 2026,</w:t>
      </w:r>
      <w:r>
        <w:t xml:space="preserve"> </w:t>
      </w:r>
      <w:r>
        <w:t xml:space="preserve">alors que la période récente a montré la sensibilité de la demande au coût</w:t>
      </w:r>
      <w:r>
        <w:t xml:space="preserve"> </w:t>
      </w:r>
      <w:r>
        <w:t xml:space="preserve">du crédit (le taux moyen des crédits habitat est passé d’environ 1,1 % à</w:t>
      </w:r>
      <w:r>
        <w:t xml:space="preserve"> </w:t>
      </w:r>
      <w:r>
        <w:t xml:space="preserve">un pic de 3,6 % fin 2023, avant de refluer vers 3,1 % mi-2026, et le</w:t>
      </w:r>
      <w:r>
        <w:t xml:space="preserve"> </w:t>
      </w:r>
      <w:r>
        <w:t xml:space="preserve">rythme groupe est tombé d’environ 150 à moins de 115 réservations par mois</w:t>
      </w:r>
      <w:r>
        <w:t xml:space="preserve"> </w:t>
      </w:r>
      <w:r>
        <w:t xml:space="preserve">en 2023) ? Et quels lots du stock repricer, sachant que 45 % des 2 157</w:t>
      </w:r>
      <w:r>
        <w:t xml:space="preserve"> </w:t>
      </w:r>
      <w:r>
        <w:t xml:space="preserve">désistements enregistrés ont pour motif un problème de financement ou un</w:t>
      </w:r>
      <w:r>
        <w:t xml:space="preserve"> </w:t>
      </w:r>
      <w:r>
        <w:t xml:space="preserve">refus de prêt, et que les remises sont aujourd’hui accordées au cas par</w:t>
      </w:r>
      <w:r>
        <w:t xml:space="preserve"> </w:t>
      </w:r>
      <w:r>
        <w:t xml:space="preserve">cas ? C’est un problème de contrôle de gestion outillé par la donnée, pas</w:t>
      </w:r>
      <w:r>
        <w:t xml:space="preserve"> </w:t>
      </w:r>
      <w:r>
        <w:t xml:space="preserve">un problème de machine learning à grande échelle : 267 opérations, quatre</w:t>
      </w:r>
      <w:r>
        <w:t xml:space="preserve"> </w:t>
      </w:r>
      <w:r>
        <w:t xml:space="preserve">exports Excel totalisant 32 Mo, une photographie à date.</w:t>
      </w:r>
    </w:p>
    <w:bookmarkStart w:id="20" w:name="Xcacbc28e4963aea1e7cfa59f0a47a06bee732ec"/>
    <w:p>
      <w:pPr>
        <w:pStyle w:val="Heading3"/>
      </w:pPr>
      <w:r>
        <w:t xml:space="preserve">Besoins par axe et exigences non fonctionnelles</w:t>
      </w:r>
    </w:p>
    <w:p>
      <w:pPr>
        <w:pStyle w:val="FirstParagraph"/>
      </w:pPr>
      <w:r>
        <w:t xml:space="preserve">Les besoins ont été formalisés en trois axes, plus un axe transverse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Axe A — risque de marge</w:t>
      </w:r>
      <w:r>
        <w:t xml:space="preserve"> </w:t>
      </w:r>
      <w:r>
        <w:t xml:space="preserve">: un score de tri des opérations par risque</w:t>
      </w:r>
      <w:r>
        <w:t xml:space="preserve"> </w:t>
      </w:r>
      <w:r>
        <w:t xml:space="preserve">de dérive, le détail en euros des postes déjà en dépassement, et la</w:t>
      </w:r>
      <w:r>
        <w:t xml:space="preserve"> </w:t>
      </w:r>
      <w:r>
        <w:t xml:space="preserve">comparaison d’une opération à ses semblables 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Axe B — vitesse d’écoulement</w:t>
      </w:r>
      <w:r>
        <w:t xml:space="preserve"> </w:t>
      </w:r>
      <w:r>
        <w:t xml:space="preserve">: quantifier l’effet du taux d’intérêt</w:t>
      </w:r>
      <w:r>
        <w:t xml:space="preserve"> </w:t>
      </w:r>
      <w:r>
        <w:t xml:space="preserve">sur le rythme de réservation, séparé de l’effet propre de chaque</w:t>
      </w:r>
      <w:r>
        <w:t xml:space="preserve"> </w:t>
      </w:r>
      <w:r>
        <w:t xml:space="preserve">programme, et simuler des scénarios de taux 2026 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Axe C — prix</w:t>
      </w:r>
      <w:r>
        <w:t xml:space="preserve"> </w:t>
      </w:r>
      <w:r>
        <w:t xml:space="preserve">: estimer un prix de marché par lot, signaler le stock</w:t>
      </w:r>
      <w:r>
        <w:t xml:space="preserve"> </w:t>
      </w:r>
      <w:r>
        <w:t xml:space="preserve">hors marché, et proposer une règle de remise argumentée 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Axe transverse</w:t>
      </w:r>
      <w:r>
        <w:t xml:space="preserve"> </w:t>
      </w:r>
      <w:r>
        <w:t xml:space="preserve">: tirer des signaux simples des commentaires de vente</w:t>
      </w:r>
      <w:r>
        <w:t xml:space="preserve"> </w:t>
      </w:r>
      <w:r>
        <w:t xml:space="preserve">et de la structure du réseau de vendeurs.</w:t>
      </w:r>
    </w:p>
    <w:p>
      <w:pPr>
        <w:pStyle w:val="FirstParagraph"/>
      </w:pPr>
      <w:r>
        <w:t xml:space="preserve">Quatre exigences non fonctionnelles ont cadré le travail : la</w:t>
      </w:r>
      <w:r>
        <w:t xml:space="preserve"> </w:t>
      </w:r>
      <w:r>
        <w:t xml:space="preserve">reproductibilité (tout se reconstruit depuis les exports bruts par un seul</w:t>
      </w:r>
      <w:r>
        <w:t xml:space="preserve"> </w:t>
      </w:r>
      <w:r>
        <w:t xml:space="preserve">script), l’interprétabilité (chaque score est accompagné des variables qui</w:t>
      </w:r>
      <w:r>
        <w:t xml:space="preserve"> </w:t>
      </w:r>
      <w:r>
        <w:t xml:space="preserve">le déterminent), la confidentialité (aucune donnée nominative de client</w:t>
      </w:r>
      <w:r>
        <w:t xml:space="preserve"> </w:t>
      </w:r>
      <w:r>
        <w:t xml:space="preserve">affichée ni modélisée) et l’acceptation d’un petit échantillon — à cette</w:t>
      </w:r>
      <w:r>
        <w:t xml:space="preserve"> </w:t>
      </w:r>
      <w:r>
        <w:t xml:space="preserve">taille, des modèles simples validés en validation croisée, pas</w:t>
      </w:r>
      <w:r>
        <w:t xml:space="preserve"> </w:t>
      </w:r>
      <w:r>
        <w:t xml:space="preserve">d’architectures complexes.</w:t>
      </w:r>
    </w:p>
    <w:bookmarkEnd w:id="20"/>
    <w:bookmarkEnd w:id="21"/>
    <w:bookmarkStart w:id="22" w:name="objectif-du-dashboard"/>
    <w:p>
      <w:pPr>
        <w:pStyle w:val="Heading2"/>
      </w:pPr>
      <w:r>
        <w:t xml:space="preserve">Objectif du dashboard</w:t>
      </w:r>
    </w:p>
    <w:p>
      <w:pPr>
        <w:pStyle w:val="FirstParagraph"/>
      </w:pPr>
      <w:r>
        <w:t xml:space="preserve">Le livrable final est une application web pour la direction financière,</w:t>
      </w:r>
      <w:r>
        <w:t xml:space="preserve"> </w:t>
      </w:r>
      <w:r>
        <w:t xml:space="preserve">qui traduit les modèles en décisions. Un retour de l’entreprise en cours</w:t>
      </w:r>
      <w:r>
        <w:t xml:space="preserve"> </w:t>
      </w:r>
      <w:r>
        <w:t xml:space="preserve">de projet a imposé une clarification utile : la première version de</w:t>
      </w:r>
      <w:r>
        <w:t xml:space="preserve"> </w:t>
      </w:r>
      <w:r>
        <w:t xml:space="preserve">l’interface, trop marquée par le vocabulaire de la modélisation, a été</w:t>
      </w:r>
      <w:r>
        <w:t xml:space="preserve"> </w:t>
      </w:r>
      <w:r>
        <w:t xml:space="preserve">entièrement réécrite en langage de gestion — niveaux d’alerte,</w:t>
      </w:r>
      <w:r>
        <w:t xml:space="preserve"> </w:t>
      </w:r>
      <w:r>
        <w:t xml:space="preserve">dépassements en euros, prix de marché estimé — et son périmètre restreint</w:t>
      </w:r>
      <w:r>
        <w:t xml:space="preserve"> </w:t>
      </w:r>
      <w:r>
        <w:t xml:space="preserve">aux 147 opérations de promotion immobilière, l’aménagement foncier</w:t>
      </w:r>
      <w:r>
        <w:t xml:space="preserve"> </w:t>
      </w:r>
      <w:r>
        <w:t xml:space="preserve">relevant d’une logique économique différente. Les métriques de validation</w:t>
      </w:r>
      <w:r>
        <w:t xml:space="preserve"> </w:t>
      </w:r>
      <w:r>
        <w:t xml:space="preserve">restent dans les notebooks ; l’écran ne montre que ce qui se décide.</w:t>
      </w:r>
    </w:p>
    <w:bookmarkEnd w:id="22"/>
    <w:bookmarkEnd w:id="23"/>
    <w:bookmarkStart w:id="26" w:name="données-disponibles"/>
    <w:p>
      <w:pPr>
        <w:pStyle w:val="Heading1"/>
      </w:pPr>
      <w:r>
        <w:t xml:space="preserve">Données disponibles</w:t>
      </w:r>
    </w:p>
    <w:bookmarkStart w:id="24" w:name="données-internes"/>
    <w:p>
      <w:pPr>
        <w:pStyle w:val="Heading2"/>
      </w:pPr>
      <w:r>
        <w:t xml:space="preserve">Données internes</w:t>
      </w:r>
    </w:p>
    <w:p>
      <w:pPr>
        <w:pStyle w:val="FirstParagraph"/>
      </w:pPr>
      <w:r>
        <w:t xml:space="preserve">Quatre exports du système de gestion constituent le point de départ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Volumétrie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Grille de Prix Avec Désistements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× dossier de vente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16 467 lignes, 196 opérations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ventes, prix, dates, désistements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&amp; EFR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 analytique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65 000 lignes, 267 opérations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budget, engagé, facturé par poste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A_DM_BUDGET_MONTANT_GESTION_LIVE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 budgétaire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79 106 lignes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de cohérence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06_Informations 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désisté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2 164 lignes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 des désistements</w:t>
            </w:r>
          </w:p>
        </w:tc>
      </w:tr>
    </w:tbl>
    <w:p>
      <w:pPr>
        <w:pStyle w:val="BodyText"/>
      </w:pPr>
      <w:r>
        <w:t xml:space="preserve">Comprendre ces exports a demandé plus de temps que les modéliser, et</w:t>
      </w:r>
      <w:r>
        <w:t xml:space="preserve"> </w:t>
      </w:r>
      <w:r>
        <w:t xml:space="preserve">c’est normal : c’est là que se jouait la fiabilité de tout le reste. Trois</w:t>
      </w:r>
      <w:r>
        <w:t xml:space="preserve"> </w:t>
      </w:r>
      <w:r>
        <w:t xml:space="preserve">constats l’illustrent. Le fichier « 06_Informations Lots », malgré son</w:t>
      </w:r>
      <w:r>
        <w:t xml:space="preserve"> </w:t>
      </w:r>
      <w:r>
        <w:t xml:space="preserve">nom, ne contient que des dossiers désistés (2 157 « Désisté », 7</w:t>
      </w:r>
      <w:r>
        <w:t xml:space="preserve"> </w:t>
      </w:r>
      <w:r>
        <w:t xml:space="preserve">« Résolution de vente ») : la table maîtresse des lots est en réalité la</w:t>
      </w:r>
      <w:r>
        <w:t xml:space="preserve"> </w:t>
      </w:r>
      <w:r>
        <w:t xml:space="preserve">grille de prix. Le fichier « Budget &amp; EFR » affiche 65 000 lignes, un</w:t>
      </w:r>
      <w:r>
        <w:t xml:space="preserve"> </w:t>
      </w:r>
      <w:r>
        <w:t xml:space="preserve">chiffre rond qui évoquait une troncature ; la réconciliation avec le</w:t>
      </w:r>
      <w:r>
        <w:t xml:space="preserve"> </w:t>
      </w:r>
      <w:r>
        <w:t xml:space="preserve">fichier LIVE a montré le contraire — totaux identiques à l’euro près sur</w:t>
      </w:r>
      <w:r>
        <w:t xml:space="preserve"> </w:t>
      </w:r>
      <w:r>
        <w:t xml:space="preserve">les 118 opérations jointes (écart médian nul), les 65 000 lignes se</w:t>
      </w:r>
      <w:r>
        <w:t xml:space="preserve"> </w:t>
      </w:r>
      <w:r>
        <w:t xml:space="preserve">décomposant en 64 788 postes de détail et 212 lignes de synthèse. Enfin,</w:t>
      </w:r>
      <w:r>
        <w:t xml:space="preserve"> </w:t>
      </w:r>
      <w:r>
        <w:t xml:space="preserve">le nettoyage a traité les défauts classiques : natures de lot harmonisées</w:t>
      </w:r>
      <w:r>
        <w:t xml:space="preserve"> </w:t>
      </w:r>
      <w:r>
        <w:t xml:space="preserve">(« appt », « Appartement », « stat »… regroupés en huit familles),</w:t>
      </w:r>
      <w:r>
        <w:t xml:space="preserve"> </w:t>
      </w:r>
      <w:r>
        <w:t xml:space="preserve">doublons orthographiques de communes fusionnés (91 orthographes pour 90</w:t>
      </w:r>
      <w:r>
        <w:t xml:space="preserve"> </w:t>
      </w:r>
      <w:r>
        <w:t xml:space="preserve">communes), surfaces et prix à zéro convertis en valeurs manquantes plutôt</w:t>
      </w:r>
      <w:r>
        <w:t xml:space="preserve"> </w:t>
      </w:r>
      <w:r>
        <w:t xml:space="preserve">que traités comme des zéros réels.</w:t>
      </w:r>
    </w:p>
    <w:bookmarkEnd w:id="24"/>
    <w:bookmarkStart w:id="25" w:name="données-externes"/>
    <w:p>
      <w:pPr>
        <w:pStyle w:val="Heading2"/>
      </w:pPr>
      <w:r>
        <w:t xml:space="preserve">Données externes</w:t>
      </w:r>
    </w:p>
    <w:p>
      <w:pPr>
        <w:pStyle w:val="FirstParagraph"/>
      </w:pPr>
      <w:r>
        <w:t xml:space="preserve">Trois sources publiques, récupérées par script pour rester</w:t>
      </w:r>
      <w:r>
        <w:t xml:space="preserve"> </w:t>
      </w:r>
      <w:r>
        <w:t xml:space="preserve">re-téléchargeables : le taux moyen des crédits habitat en France (série</w:t>
      </w:r>
      <w:r>
        <w:t xml:space="preserve"> </w:t>
      </w:r>
      <w:r>
        <w:t xml:space="preserve">mensuelle de la Banque centrale européenne, 2015 à 2026), l’indicateur de</w:t>
      </w:r>
      <w:r>
        <w:t xml:space="preserve"> </w:t>
      </w:r>
      <w:r>
        <w:t xml:space="preserve">confiance des ménages (Eurostat, 2015 à 2026) et un référentiel des 90</w:t>
      </w:r>
      <w:r>
        <w:t xml:space="preserve"> </w:t>
      </w:r>
      <w:r>
        <w:t xml:space="preserve">communes d’implantation (population, coordonnées, via l’API publique</w:t>
      </w:r>
      <w:r>
        <w:t xml:space="preserve"> </w:t>
      </w:r>
      <w:r>
        <w:t xml:space="preserve">geo.api.gouv.fr), enrichi d’une distance au littoral calculée.</w:t>
      </w:r>
    </w:p>
    <w:bookmarkEnd w:id="25"/>
    <w:bookmarkEnd w:id="26"/>
    <w:bookmarkStart w:id="27" w:name="architecture-technique"/>
    <w:p>
      <w:pPr>
        <w:pStyle w:val="Heading1"/>
      </w:pPr>
      <w:r>
        <w:t xml:space="preserve">Architecture technique</w:t>
      </w:r>
    </w:p>
    <w:p>
      <w:pPr>
        <w:pStyle w:val="FirstParagraph"/>
      </w:pPr>
      <w:r>
        <w:t xml:space="preserve">L’architecture tient en une chaîne courte et entièrement rejouable : les</w:t>
      </w:r>
      <w:r>
        <w:t xml:space="preserve"> </w:t>
      </w:r>
      <w:r>
        <w:t xml:space="preserve">quatre exports et les sources externes alimentent un script de nettoyage,</w:t>
      </w:r>
      <w:r>
        <w:t xml:space="preserve"> </w:t>
      </w:r>
      <w:r>
        <w:t xml:space="preserve">qui charge une base</w:t>
      </w:r>
      <w:r>
        <w:t xml:space="preserve"> </w:t>
      </w:r>
      <w:r>
        <w:rPr>
          <w:bCs/>
          <w:b/>
        </w:rPr>
        <w:t xml:space="preserve">SQLite</w:t>
      </w:r>
      <w:r>
        <w:t xml:space="preserve"> </w:t>
      </w:r>
      <w:r>
        <w:t xml:space="preserve">en schéma en étoile — trois dimensions</w:t>
      </w:r>
      <w:r>
        <w:t xml:space="preserve"> </w:t>
      </w:r>
      <w:r>
        <w:t xml:space="preserve">(opérations, communes, conjoncture mensuelle), quatre tables de faits</w:t>
      </w:r>
      <w:r>
        <w:t xml:space="preserve"> </w:t>
      </w:r>
      <w:r>
        <w:t xml:space="preserve">(64 788 lignes budgétaires, 14 123 lots, 14 428 dossiers de vente, 2 164</w:t>
      </w:r>
      <w:r>
        <w:t xml:space="preserve"> </w:t>
      </w:r>
      <w:r>
        <w:t xml:space="preserve">désistements) — sur laquelle s’appuient les notebooks et l’application.</w:t>
      </w:r>
      <w:r>
        <w:t xml:space="preserve"> </w:t>
      </w:r>
      <w:r>
        <w:t xml:space="preserve">Trois vues SQL y encapsulent les calculs partagés : marge budgétée contre</w:t>
      </w:r>
      <w:r>
        <w:t xml:space="preserve"> </w:t>
      </w:r>
      <w:r>
        <w:t xml:space="preserve">engagée par opération, réservations par opération et par mois, état du</w:t>
      </w:r>
      <w:r>
        <w:t xml:space="preserve"> </w:t>
      </w:r>
      <w:r>
        <w:t xml:space="preserve">stock. C’est un choix structurant : la définition de la marge est écrite</w:t>
      </w:r>
      <w:r>
        <w:t xml:space="preserve"> </w:t>
      </w:r>
      <w:r>
        <w:t xml:space="preserve">une seule fois, et les notebooks comme la plateforme consomment la même.</w:t>
      </w:r>
      <w:r>
        <w:t xml:space="preserve"> </w:t>
      </w:r>
      <w:r>
        <w:t xml:space="preserve">Une seule commande reconstruit l’ensemble depuis les exports bruts en</w:t>
      </w:r>
      <w:r>
        <w:t xml:space="preserve"> </w:t>
      </w:r>
      <w:r>
        <w:t xml:space="preserve">quelques secondes, et l’analyse complète est versionnée et ré-exécutable</w:t>
      </w:r>
      <w:r>
        <w:t xml:space="preserve"> </w:t>
      </w:r>
      <w:r>
        <w:t xml:space="preserve">de bout en bout : tous les résultats présentés dans ce chapitre sont</w:t>
      </w:r>
      <w:r>
        <w:t xml:space="preserve"> </w:t>
      </w:r>
      <w:r>
        <w:t xml:space="preserve">reproductibles.</w:t>
      </w:r>
    </w:p>
    <w:bookmarkEnd w:id="27"/>
    <w:bookmarkStart w:id="55" w:name="notebooks-et-résultats"/>
    <w:p>
      <w:pPr>
        <w:pStyle w:val="Heading1"/>
      </w:pPr>
      <w:r>
        <w:t xml:space="preserve">Notebooks et résultats</w:t>
      </w:r>
    </w:p>
    <w:bookmarkStart w:id="34" w:name="X602394daec039ef4331b05e21f2ad099f555b11"/>
    <w:p>
      <w:pPr>
        <w:pStyle w:val="Heading2"/>
      </w:pPr>
      <w:r>
        <w:t xml:space="preserve">Exploration et nettoyage des données brutes</w:t>
      </w:r>
    </w:p>
    <w:p>
      <w:pPr>
        <w:pStyle w:val="FirstParagraph"/>
      </w:pPr>
      <w:r>
        <w:t xml:space="preserve">Au-delà du nettoyage décrit en section 2, l’exploration a produit deux</w:t>
      </w:r>
      <w:r>
        <w:t xml:space="preserve"> </w:t>
      </w:r>
      <w:r>
        <w:t xml:space="preserve">résultats qui ont orienté la modélisation.</w:t>
      </w:r>
    </w:p>
    <w:p>
      <w:pPr>
        <w:pStyle w:val="BodyText"/>
      </w:pPr>
      <w:r>
        <w:t xml:space="preserve">Le premier concerne les prix : le prix au mètre carré des appartements est</w:t>
      </w:r>
      <w:r>
        <w:t xml:space="preserve"> </w:t>
      </w:r>
      <w:r>
        <w:t xml:space="preserve">fortement asymétrique (coefficient d’asymétrie de 19,2), mais devient</w:t>
      </w:r>
      <w:r>
        <w:t xml:space="preserve"> </w:t>
      </w:r>
      <w:r>
        <w:t xml:space="preserve">proche d’une loi normale après passage au logarithme (asymétrie 0,39,</w:t>
      </w:r>
      <w:r>
        <w:t xml:space="preserve"> </w:t>
      </w:r>
      <w:r>
        <w:t xml:space="preserve">diagramme quantile-quantile presque rectiligne, Figure 1). L’axe C</w:t>
      </w:r>
      <w:r>
        <w:t xml:space="preserve"> </w:t>
      </w:r>
      <w:r>
        <w:t xml:space="preserve">modélisera donc le logarithme du prix.</w:t>
      </w:r>
    </w:p>
    <w:p>
      <w:pPr>
        <w:pStyle w:val="CaptionedFigure"/>
      </w:pPr>
      <w:r>
        <w:drawing>
          <wp:inline>
            <wp:extent cx="5334000" cy="3374934"/>
            <wp:effectExtent b="0" l="0" r="0" t="0"/>
            <wp:docPr descr="Figure 1 — Prix au m² des appartements : distribution brute et après transformation logarithmique." title="" id="29" name="Picture"/>
            <a:graphic>
              <a:graphicData uri="http://schemas.openxmlformats.org/drawingml/2006/picture">
                <pic:pic>
                  <pic:nvPicPr>
                    <pic:cNvPr descr="figures/fig01_distribution_prix_m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4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Prix au m² des appartements : distribution brute et après transformation logarithmique.</w:t>
      </w:r>
    </w:p>
    <w:p>
      <w:pPr>
        <w:pStyle w:val="BodyText"/>
      </w:pPr>
      <w:r>
        <w:t xml:space="preserve">Le second est une leçon de méthode qui a évité une conclusion fausse. La</w:t>
      </w:r>
      <w:r>
        <w:t xml:space="preserve"> </w:t>
      </w:r>
      <w:r>
        <w:t xml:space="preserve">corrélation entre les réservations mensuelles du groupe et le taux des</w:t>
      </w:r>
      <w:r>
        <w:t xml:space="preserve"> </w:t>
      </w:r>
      <w:r>
        <w:t xml:space="preserve">crédits habitat est quasi nulle (+0,07) : à première vue, la conjoncture</w:t>
      </w:r>
      <w:r>
        <w:t xml:space="preserve"> </w:t>
      </w:r>
      <w:r>
        <w:t xml:space="preserve">n’expliquerait rien. En réalité, la série brute est brouillée par la</w:t>
      </w:r>
      <w:r>
        <w:t xml:space="preserve"> </w:t>
      </w:r>
      <w:r>
        <w:t xml:space="preserve">croissance du portefeuille — le nombre d’opérations en commercialisation</w:t>
      </w:r>
      <w:r>
        <w:t xml:space="preserve"> </w:t>
      </w:r>
      <w:r>
        <w:t xml:space="preserve">a fortement augmenté, ce qui soutient le volume total même quand la</w:t>
      </w:r>
      <w:r>
        <w:t xml:space="preserve"> </w:t>
      </w:r>
      <w:r>
        <w:t xml:space="preserve">demande par programme s’effondre. Rapportées au nombre d’opérations</w:t>
      </w:r>
      <w:r>
        <w:t xml:space="preserve"> </w:t>
      </w:r>
      <w:r>
        <w:t xml:space="preserve">actives, les réservations racontent l’inverse (Figure 2) : la corrélation</w:t>
      </w:r>
      <w:r>
        <w:t xml:space="preserve"> </w:t>
      </w:r>
      <w:r>
        <w:t xml:space="preserve">passe à -0,34 avec le taux et +0,44 avec la confiance des ménages. Tout</w:t>
      </w:r>
      <w:r>
        <w:t xml:space="preserve"> </w:t>
      </w:r>
      <w:r>
        <w:t xml:space="preserve">l’axe B repose sur cette correction.</w:t>
      </w:r>
    </w:p>
    <w:p>
      <w:pPr>
        <w:pStyle w:val="CaptionedFigure"/>
      </w:pPr>
      <w:r>
        <w:drawing>
          <wp:inline>
            <wp:extent cx="5334000" cy="1616228"/>
            <wp:effectExtent b="0" l="0" r="0" t="0"/>
            <wp:docPr descr="Figure 2 — Intensité de vente (réservations par opération active) : l’effet de la remontée des taux apparaît une fois l’effet portefeuille neutralisé." title="" id="32" name="Picture"/>
            <a:graphic>
              <a:graphicData uri="http://schemas.openxmlformats.org/drawingml/2006/picture">
                <pic:pic>
                  <pic:nvPicPr>
                    <pic:cNvPr descr="figures/fig02_intensite_vent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6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Intensité de vente (réservations par opération active) : l’effet de la remontée des taux apparaît une fois l’effet portefeuille neutralisé.</w:t>
      </w:r>
    </w:p>
    <w:bookmarkEnd w:id="34"/>
    <w:bookmarkStart w:id="35" w:name="sql-et-spark"/>
    <w:p>
      <w:pPr>
        <w:pStyle w:val="Heading2"/>
      </w:pPr>
      <w:r>
        <w:t xml:space="preserve">SQL et Spark</w:t>
      </w:r>
    </w:p>
    <w:p>
      <w:pPr>
        <w:pStyle w:val="FirstParagraph"/>
      </w:pPr>
      <w:r>
        <w:t xml:space="preserve">Le vrai livrable de cette étape est la base SQL décrite en section 3 : les</w:t>
      </w:r>
      <w:r>
        <w:t xml:space="preserve"> </w:t>
      </w:r>
      <w:r>
        <w:t xml:space="preserve">vues métier partagées, les index, et un contrôle croisé des agrégats qui</w:t>
      </w:r>
      <w:r>
        <w:t xml:space="preserve"> </w:t>
      </w:r>
      <w:r>
        <w:t xml:space="preserve">retrouve les mêmes totaux par deux moteurs indépendants (1 561,8 M€ de</w:t>
      </w:r>
      <w:r>
        <w:t xml:space="preserve"> </w:t>
      </w:r>
      <w:r>
        <w:t xml:space="preserve">dépenses budgétées, 1 754,8 M€ de recettes, à l’arrondi près).</w:t>
      </w:r>
    </w:p>
    <w:p>
      <w:pPr>
        <w:pStyle w:val="BodyText"/>
      </w:pPr>
      <w:r>
        <w:t xml:space="preserve">Spark a été évalué comme piste de montée en charge, l’entreprise</w:t>
      </w:r>
      <w:r>
        <w:t xml:space="preserve"> </w:t>
      </w:r>
      <w:r>
        <w:t xml:space="preserve">appartenant à un groupe dont le périmètre de données dépasse largement le</w:t>
      </w:r>
      <w:r>
        <w:t xml:space="preserve"> </w:t>
      </w:r>
      <w:r>
        <w:t xml:space="preserve">sien. Le test est concluant par la négative : sur notre volumétrie</w:t>
      </w:r>
      <w:r>
        <w:t xml:space="preserve"> </w:t>
      </w:r>
      <w:r>
        <w:t xml:space="preserve">(64 788 lignes, 9 Mo en mémoire), l’agrégation chronométrée est environ</w:t>
      </w:r>
      <w:r>
        <w:t xml:space="preserve"> </w:t>
      </w:r>
      <w:r>
        <w:t xml:space="preserve">cinquante fois plus lente qu’avec pandas (rapport mesuré de 58, après 24</w:t>
      </w:r>
      <w:r>
        <w:t xml:space="preserve"> </w:t>
      </w:r>
      <w:r>
        <w:t xml:space="preserve">secondes de démarrage de la machine virtuelle Java ; une exécution</w:t>
      </w:r>
      <w:r>
        <w:t xml:space="preserve"> </w:t>
      </w:r>
      <w:r>
        <w:t xml:space="preserve">antérieure donnait 28 — le chiffre varie avec la machine, la conclusion</w:t>
      </w:r>
      <w:r>
        <w:t xml:space="preserve"> </w:t>
      </w:r>
      <w:r>
        <w:t xml:space="preserve">non). SQLite et pandas constituent donc la bonne architecture à cette</w:t>
      </w:r>
      <w:r>
        <w:t xml:space="preserve"> </w:t>
      </w:r>
      <w:r>
        <w:t xml:space="preserve">échelle, et le chemin de montée en charge est identifié si le périmètre</w:t>
      </w:r>
      <w:r>
        <w:t xml:space="preserve"> </w:t>
      </w:r>
      <w:r>
        <w:t xml:space="preserve">s’étendait un jour au groupe Nexity.</w:t>
      </w:r>
    </w:p>
    <w:bookmarkEnd w:id="35"/>
    <w:bookmarkStart w:id="39" w:name="axe-a"/>
    <w:p>
      <w:pPr>
        <w:pStyle w:val="Heading2"/>
      </w:pPr>
      <w:r>
        <w:t xml:space="preserve">Axe A</w:t>
      </w:r>
    </w:p>
    <w:p>
      <w:pPr>
        <w:pStyle w:val="FirstParagraph"/>
      </w:pPr>
      <w:r>
        <w:t xml:space="preserve">La difficulté de l’axe A était moins le modèle que la</w:t>
      </w:r>
      <w:r>
        <w:t xml:space="preserve"> </w:t>
      </w:r>
      <w:r>
        <w:rPr>
          <w:bCs/>
          <w:b/>
        </w:rPr>
        <w:t xml:space="preserve">définition de la</w:t>
      </w:r>
      <w:r>
        <w:rPr>
          <w:bCs/>
          <w:b/>
        </w:rPr>
        <w:t xml:space="preserve"> </w:t>
      </w:r>
      <w:r>
        <w:rPr>
          <w:bCs/>
          <w:b/>
        </w:rPr>
        <w:t xml:space="preserve">cible</w:t>
      </w:r>
      <w:r>
        <w:t xml:space="preserve">. Les exports sont une photographie à date, sans historique des</w:t>
      </w:r>
      <w:r>
        <w:t xml:space="preserve"> </w:t>
      </w:r>
      <w:r>
        <w:t xml:space="preserve">révisions budgétaires : j’ai donc mesuré la dérive par les dépassements</w:t>
      </w:r>
      <w:r>
        <w:t xml:space="preserve"> </w:t>
      </w:r>
      <w:r>
        <w:t xml:space="preserve">déjà engagés, poste par poste — les dépenses à terminaison sont estimées</w:t>
      </w:r>
      <w:r>
        <w:t xml:space="preserve"> </w:t>
      </w:r>
      <w:r>
        <w:t xml:space="preserve">par le maximum de l’engagé et du budget de chaque poste (« un dépassement</w:t>
      </w:r>
      <w:r>
        <w:t xml:space="preserve"> </w:t>
      </w:r>
      <w:r>
        <w:t xml:space="preserve">engagé est acquis, le budget restant sera dépensé »), et la variation de</w:t>
      </w:r>
      <w:r>
        <w:t xml:space="preserve"> </w:t>
      </w:r>
      <w:r>
        <w:t xml:space="preserve">marge rapporte la marge ainsi recalculée à la marge budgétée. Les</w:t>
      </w:r>
      <w:r>
        <w:t xml:space="preserve"> </w:t>
      </w:r>
      <w:r>
        <w:t xml:space="preserve">variables explicatives n’utilisent que le budget initial et les signaux</w:t>
      </w:r>
      <w:r>
        <w:t xml:space="preserve"> </w:t>
      </w:r>
      <w:r>
        <w:t xml:space="preserve">commerciaux, jamais l’engagé ni le facturé qui définissent la cible : sans</w:t>
      </w:r>
      <w:r>
        <w:t xml:space="preserve"> </w:t>
      </w:r>
      <w:r>
        <w:t xml:space="preserve">cette précaution, le modèle aurait « prédit » sa propre définition.</w:t>
      </w:r>
    </w:p>
    <w:p>
      <w:pPr>
        <w:pStyle w:val="BodyText"/>
      </w:pPr>
      <w:r>
        <w:t xml:space="preserve">Sur le périmètre exploitable — 123 opérations engagées à au moins 60 %,</w:t>
      </w:r>
      <w:r>
        <w:t xml:space="preserve"> </w:t>
      </w:r>
      <w:r>
        <w:t xml:space="preserve">de marge budgétée supérieure à 50 k€ — plus d’un tiers des opérations</w:t>
      </w:r>
      <w:r>
        <w:t xml:space="preserve"> </w:t>
      </w:r>
      <w:r>
        <w:t xml:space="preserve">(36,6 %) n’a aucun dépassement engagé, mais 28 % franchissent le seuil de</w:t>
      </w:r>
      <w:r>
        <w:t xml:space="preserve"> </w:t>
      </w:r>
      <w:r>
        <w:t xml:space="preserve">dérive matérielle fixé à 2 % de la marge, avec deux cas extrêmes au-delà</w:t>
      </w:r>
      <w:r>
        <w:t xml:space="preserve"> </w:t>
      </w:r>
      <w:r>
        <w:t xml:space="preserve">de la moitié de la marge budgétée (Figure 3).</w:t>
      </w:r>
    </w:p>
    <w:p>
      <w:pPr>
        <w:pStyle w:val="CaptionedFigure"/>
      </w:pPr>
      <w:r>
        <w:drawing>
          <wp:inline>
            <wp:extent cx="5334000" cy="1714181"/>
            <wp:effectExtent b="0" l="0" r="0" t="0"/>
            <wp:docPr descr="Figure 3 — Distribution de la variation de marge « committée » sur les 123 opérations du périmètre, et seuil de dérive matérielle à -2 %." title="" id="37" name="Picture"/>
            <a:graphic>
              <a:graphicData uri="http://schemas.openxmlformats.org/drawingml/2006/picture">
                <pic:pic>
                  <pic:nvPicPr>
                    <pic:cNvPr descr="figures/fig05_distribution_variation_marg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Distribution de la variation de marge « committée » sur les 123 opérations du périmètre, et seuil de dérive matérielle à -2 %.</w:t>
      </w:r>
    </w:p>
    <w:p>
      <w:pPr>
        <w:pStyle w:val="BodyText"/>
      </w:pPr>
      <w:r>
        <w:t xml:space="preserve">Il faut le dire simplement : la partie la plus utile de cet axe pour</w:t>
      </w:r>
      <w:r>
        <w:t xml:space="preserve"> </w:t>
      </w:r>
      <w:r>
        <w:t xml:space="preserve">l’entreprise n’est pas un modèle appris, c’est le</w:t>
      </w:r>
      <w:r>
        <w:t xml:space="preserve"> </w:t>
      </w:r>
      <w:r>
        <w:rPr>
          <w:bCs/>
          <w:b/>
        </w:rPr>
        <w:t xml:space="preserve">tableau descriptif des</w:t>
      </w:r>
      <w:r>
        <w:rPr>
          <w:bCs/>
          <w:b/>
        </w:rPr>
        <w:t xml:space="preserve"> </w:t>
      </w:r>
      <w:r>
        <w:rPr>
          <w:bCs/>
          <w:b/>
        </w:rPr>
        <w:t xml:space="preserve">dépassements engagés en euros, par opération et par poste</w:t>
      </w:r>
      <w:r>
        <w:t xml:space="preserve">, calculé en</w:t>
      </w:r>
      <w:r>
        <w:t xml:space="preserve"> </w:t>
      </w:r>
      <w:r>
        <w:t xml:space="preserve">SQL pur — c’est lui qui alimente la page « Alertes marge » de la</w:t>
      </w:r>
      <w:r>
        <w:t xml:space="preserve"> </w:t>
      </w:r>
      <w:r>
        <w:t xml:space="preserve">plateforme. La modélisation vient en complément, comme score de tri : une</w:t>
      </w:r>
      <w:r>
        <w:t xml:space="preserve"> </w:t>
      </w:r>
      <w:r>
        <w:t xml:space="preserve">régression du taux de variation atteint un R² de 0,08 sur l’échantillon</w:t>
      </w:r>
      <w:r>
        <w:t xml:space="preserve"> </w:t>
      </w:r>
      <w:r>
        <w:t xml:space="preserve">test — résultat modeste et honnête, la structure du budget initial</w:t>
      </w:r>
      <w:r>
        <w:t xml:space="preserve"> </w:t>
      </w:r>
      <w:r>
        <w:t xml:space="preserve">prédispose à la dérive mais ne la détermine pas, l’aléa de chantier fait</w:t>
      </w:r>
      <w:r>
        <w:t xml:space="preserve"> </w:t>
      </w:r>
      <w:r>
        <w:t xml:space="preserve">le reste — et une classification des opérations « à risque » (dérive</w:t>
      </w:r>
      <w:r>
        <w:t xml:space="preserve"> </w:t>
      </w:r>
      <w:r>
        <w:t xml:space="preserve">au-delà de 2 %) atteint un F1 de l’ordre de 0,30 à 0,34 en validation</w:t>
      </w:r>
      <w:r>
        <w:t xml:space="preserve"> </w:t>
      </w:r>
      <w:r>
        <w:t xml:space="preserve">croisée stratifiée, contre 0 pour la référence majoritaire qui ne détecte</w:t>
      </w:r>
      <w:r>
        <w:t xml:space="preserve"> </w:t>
      </w:r>
      <w:r>
        <w:t xml:space="preserve">rien. Quatre classifieurs classiques ont été confrontés (régression</w:t>
      </w:r>
      <w:r>
        <w:t xml:space="preserve"> </w:t>
      </w:r>
      <w:r>
        <w:t xml:space="preserve">logistique, séparateur à vaste marge, arbre de décision, forêt</w:t>
      </w:r>
      <w:r>
        <w:t xml:space="preserve"> </w:t>
      </w:r>
      <w:r>
        <w:t xml:space="preserve">aléatoire) ; à 123 observations, leurs écarts de performance ne sont pas</w:t>
      </w:r>
      <w:r>
        <w:t xml:space="preserve"> </w:t>
      </w:r>
      <w:r>
        <w:t xml:space="preserve">significatifs, et le choix s’est porté sur la forêt aléatoire, dont les</w:t>
      </w:r>
      <w:r>
        <w:t xml:space="preserve"> </w:t>
      </w:r>
      <w:r>
        <w:t xml:space="preserve">probabilités alimentent les niveaux d’alerte de la plateforme. Le système</w:t>
      </w:r>
      <w:r>
        <w:t xml:space="preserve"> </w:t>
      </w:r>
      <w:r>
        <w:t xml:space="preserve">est un outil de hiérarchisation de l’attention, pas un oracle.</w:t>
      </w:r>
    </w:p>
    <w:bookmarkEnd w:id="39"/>
    <w:bookmarkStart w:id="46" w:name="axe-b"/>
    <w:p>
      <w:pPr>
        <w:pStyle w:val="Heading2"/>
      </w:pPr>
      <w:r>
        <w:t xml:space="preserve">Axe B</w:t>
      </w:r>
    </w:p>
    <w:p>
      <w:pPr>
        <w:pStyle w:val="FirstParagraph"/>
      </w:pPr>
      <w:r>
        <w:t xml:space="preserve">C’est la section la plus solide du projet, et celle dont le résultat sert</w:t>
      </w:r>
      <w:r>
        <w:t xml:space="preserve"> </w:t>
      </w:r>
      <w:r>
        <w:t xml:space="preserve">le plus directement la décision.</w:t>
      </w:r>
    </w:p>
    <w:p>
      <w:pPr>
        <w:pStyle w:val="BodyText"/>
      </w:pPr>
      <w:r>
        <w:t xml:space="preserve">Le rythme de vente est modélisé sur le panel opération × mois : 3 230</w:t>
      </w:r>
      <w:r>
        <w:t xml:space="preserve"> </w:t>
      </w:r>
      <w:r>
        <w:t xml:space="preserve">observations sur 160 opérations, en réintroduisant les mois à zéro</w:t>
      </w:r>
      <w:r>
        <w:t xml:space="preserve"> </w:t>
      </w:r>
      <w:r>
        <w:t xml:space="preserve">réservation entre la première et la dernière vente de chaque programme</w:t>
      </w:r>
      <w:r>
        <w:t xml:space="preserve"> </w:t>
      </w:r>
      <w:r>
        <w:t xml:space="preserve">(les omettre surestimerait le rythme). Un modèle à effets aléatoires y</w:t>
      </w:r>
      <w:r>
        <w:t xml:space="preserve"> </w:t>
      </w:r>
      <w:r>
        <w:t xml:space="preserve">sépare ce qui revient à l’opération de ce qui revient à la conjoncture :</w:t>
      </w:r>
      <w:r>
        <w:t xml:space="preserve"> </w:t>
      </w:r>
      <w:r>
        <w:t xml:space="preserve">les deux tiers de la variance tiennent au programme lui-même (coefficient</w:t>
      </w:r>
      <w:r>
        <w:t xml:space="preserve"> </w:t>
      </w:r>
      <w:r>
        <w:t xml:space="preserve">de corrélation intraclasse de 0,66), et l’effet du taux d’intérêt est</w:t>
      </w:r>
      <w:r>
        <w:t xml:space="preserve"> </w:t>
      </w:r>
      <w:r>
        <w:t xml:space="preserve">fortement significatif —</w:t>
      </w:r>
      <w:r>
        <w:t xml:space="preserve"> </w:t>
      </w:r>
      <w:r>
        <w:rPr>
          <w:bCs/>
          <w:b/>
        </w:rPr>
        <w:t xml:space="preserve">une hausse d’un point de taux réduit les</w:t>
      </w:r>
      <w:r>
        <w:rPr>
          <w:bCs/>
          <w:b/>
        </w:rPr>
        <w:t xml:space="preserve"> </w:t>
      </w:r>
      <w:r>
        <w:rPr>
          <w:bCs/>
          <w:b/>
        </w:rPr>
        <w:t xml:space="preserve">réservations mensuelles d’environ 19 %</w:t>
      </w:r>
      <w:r>
        <w:t xml:space="preserve"> </w:t>
      </w:r>
      <w:r>
        <w:t xml:space="preserve">(coefficient -0,216, p-value</w:t>
      </w:r>
      <w:r>
        <w:t xml:space="preserve"> </w:t>
      </w:r>
      <w:r>
        <w:t xml:space="preserve">inférieure à 10^-15). La régression naïve qui ignore la structure en panel</w:t>
      </w:r>
      <w:r>
        <w:t xml:space="preserve"> </w:t>
      </w:r>
      <w:r>
        <w:t xml:space="preserve">surestime cet effet ; le modèle à effets aléatoires le corrige.</w:t>
      </w:r>
    </w:p>
    <w:p>
      <w:pPr>
        <w:pStyle w:val="BodyText"/>
      </w:pPr>
      <w:r>
        <w:t xml:space="preserve">Un garde-fou mérite d’être raconté, parce qu’il fonde la construction des</w:t>
      </w:r>
      <w:r>
        <w:t xml:space="preserve"> </w:t>
      </w:r>
      <w:r>
        <w:t xml:space="preserve">scénarios : sur la série agrégée du groupe (114 mois), une régression</w:t>
      </w:r>
      <w:r>
        <w:t xml:space="preserve"> </w:t>
      </w:r>
      <w:r>
        <w:t xml:space="preserve">dynamique à erreurs ARIMA, menée dans les règles (résidus assimilables à</w:t>
      </w:r>
      <w:r>
        <w:t xml:space="preserve"> </w:t>
      </w:r>
      <w:r>
        <w:t xml:space="preserve">un bruit blanc d’abord, sélection par AICc ensuite), ne parvient pas à</w:t>
      </w:r>
      <w:r>
        <w:t xml:space="preserve"> </w:t>
      </w:r>
      <w:r>
        <w:t xml:space="preserve">identifier l’effet du taux — le coefficient y est indiscernable de zéro</w:t>
      </w:r>
      <w:r>
        <w:t xml:space="preserve"> </w:t>
      </w:r>
      <w:r>
        <w:t xml:space="preserve">(p-value 0,82), car les variations du taux sont trop lentes pour une seule</w:t>
      </w:r>
      <w:r>
        <w:t xml:space="preserve"> </w:t>
      </w:r>
      <w:r>
        <w:t xml:space="preserve">série de cette longueur. Ce résultat négatif dit deux choses : la</w:t>
      </w:r>
      <w:r>
        <w:t xml:space="preserve"> </w:t>
      </w:r>
      <w:r>
        <w:t xml:space="preserve">significativité du panel n’est pas un artefact de régression fallacieuse,</w:t>
      </w:r>
      <w:r>
        <w:t xml:space="preserve"> </w:t>
      </w:r>
      <w:r>
        <w:t xml:space="preserve">et les scénarios doivent combiner les deux modèles — la série temporelle</w:t>
      </w:r>
      <w:r>
        <w:t xml:space="preserve"> </w:t>
      </w:r>
      <w:r>
        <w:t xml:space="preserve">fournit la trajectoire de référence (dynamique et saisonnalité), et</w:t>
      </w:r>
      <w:r>
        <w:t xml:space="preserve"> </w:t>
      </w:r>
      <w:r>
        <w:t xml:space="preserve">l’élasticité du panel traduit chaque scénario de taux en effet sur le</w:t>
      </w:r>
      <w:r>
        <w:t xml:space="preserve"> </w:t>
      </w:r>
      <w:r>
        <w:t xml:space="preserve">rythme. Sur cette base (Figure 4), une détente à 2,5 % fin 2026</w:t>
      </w:r>
      <w:r>
        <w:t xml:space="preserve"> </w:t>
      </w:r>
      <w:r>
        <w:t xml:space="preserve">redonnerait environ +6 % de rythme en moyenne sur douze mois ; une</w:t>
      </w:r>
      <w:r>
        <w:t xml:space="preserve"> </w:t>
      </w:r>
      <w:r>
        <w:t xml:space="preserve">remontée à 3,5 % en retirerait 3 %.</w:t>
      </w:r>
    </w:p>
    <w:p>
      <w:pPr>
        <w:pStyle w:val="CaptionedFigure"/>
      </w:pPr>
      <w:r>
        <w:drawing>
          <wp:inline>
            <wp:extent cx="5334000" cy="2003589"/>
            <wp:effectExtent b="0" l="0" r="0" t="0"/>
            <wp:docPr descr="Figure 4 — Prévision d’intensité de vente à douze mois sous trois scénarios de taux 2026, avec intervalle à 80 %." title="" id="41" name="Picture"/>
            <a:graphic>
              <a:graphicData uri="http://schemas.openxmlformats.org/drawingml/2006/picture">
                <pic:pic>
                  <pic:nvPicPr>
                    <pic:cNvPr descr="figures/fig07_scenarios_taux_202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3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Prévision d’intensité de vente à douze mois sous trois scénarios de taux 2026, avec intervalle à 80 %.</w:t>
      </w:r>
    </w:p>
    <w:p>
      <w:pPr>
        <w:pStyle w:val="BodyText"/>
      </w:pPr>
      <w:r>
        <w:t xml:space="preserve">Enfin, à l’échelle d’un programme, la courbe des réservations cumulées</w:t>
      </w:r>
      <w:r>
        <w:t xml:space="preserve"> </w:t>
      </w:r>
      <w:r>
        <w:t xml:space="preserve">suit une forme en S ajustée par une fonction logistique à trois</w:t>
      </w:r>
      <w:r>
        <w:t xml:space="preserve"> </w:t>
      </w:r>
      <w:r>
        <w:t xml:space="preserve">paramètres : sur les 28 opérations terminées du périmètre, cet ajustement</w:t>
      </w:r>
      <w:r>
        <w:t xml:space="preserve"> </w:t>
      </w:r>
      <w:r>
        <w:t xml:space="preserve">bat la droite dans 25 cas (Figure 5) et fournit un indicateur directement</w:t>
      </w:r>
      <w:r>
        <w:t xml:space="preserve"> </w:t>
      </w:r>
      <w:r>
        <w:t xml:space="preserve">utile à la trésorerie — le délai d’atteinte de 90 % du potentiel, de</w:t>
      </w:r>
      <w:r>
        <w:t xml:space="preserve"> </w:t>
      </w:r>
      <w:r>
        <w:t xml:space="preserve">médiane proche de vingt mois. Sa limite est connue et vérifiée : en début</w:t>
      </w:r>
      <w:r>
        <w:t xml:space="preserve"> </w:t>
      </w:r>
      <w:r>
        <w:t xml:space="preserve">de commercialisation, le potentiel n’est pas identifiable, l’outil n’est</w:t>
      </w:r>
      <w:r>
        <w:t xml:space="preserve"> </w:t>
      </w:r>
      <w:r>
        <w:t xml:space="preserve">donc proposé que sur les programmes avancés.</w:t>
      </w:r>
    </w:p>
    <w:p>
      <w:pPr>
        <w:pStyle w:val="CaptionedFigure"/>
      </w:pPr>
      <w:r>
        <w:drawing>
          <wp:inline>
            <wp:extent cx="5334000" cy="3130051"/>
            <wp:effectExtent b="0" l="0" r="0" t="0"/>
            <wp:docPr descr="Figure 5 — Réservations cumulées et courbes logistiques ajustées sur quatre opérations terminées, avec le repère des 90 % du potentiel." title="" id="44" name="Picture"/>
            <a:graphic>
              <a:graphicData uri="http://schemas.openxmlformats.org/drawingml/2006/picture">
                <pic:pic>
                  <pic:nvPicPr>
                    <pic:cNvPr descr="figures/fig08_courbes_ecoulemen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0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Réservations cumulées et courbes logistiques ajustées sur quatre opérations terminées, avec le repère des 90 % du potentiel.</w:t>
      </w:r>
    </w:p>
    <w:bookmarkEnd w:id="46"/>
    <w:bookmarkStart w:id="53" w:name="axe-c"/>
    <w:p>
      <w:pPr>
        <w:pStyle w:val="Heading2"/>
      </w:pPr>
      <w:r>
        <w:t xml:space="preserve">Axe C</w:t>
      </w:r>
    </w:p>
    <w:p>
      <w:pPr>
        <w:pStyle w:val="FirstParagraph"/>
      </w:pPr>
      <w:r>
        <w:t xml:space="preserve">Le modèle de prix est volontairement le plus simple qui fonctionne : une</w:t>
      </w:r>
      <w:r>
        <w:t xml:space="preserve"> </w:t>
      </w:r>
      <w:r>
        <w:t xml:space="preserve">régression linéaire du logarithme du prix au mètre carré des 5 064</w:t>
      </w:r>
      <w:r>
        <w:t xml:space="preserve"> </w:t>
      </w:r>
      <w:r>
        <w:t xml:space="preserve">appartements transigés depuis 2016, sur leurs caractéristiques (surface,</w:t>
      </w:r>
      <w:r>
        <w:t xml:space="preserve"> </w:t>
      </w:r>
      <w:r>
        <w:t xml:space="preserve">étage, exposition, type de produit, agence, commune, littoral) et leur</w:t>
      </w:r>
      <w:r>
        <w:t xml:space="preserve"> </w:t>
      </w:r>
      <w:r>
        <w:t xml:space="preserve">année de réservation. Elle explique 88,6 % de la variance sur</w:t>
      </w:r>
      <w:r>
        <w:t xml:space="preserve"> </w:t>
      </w:r>
      <w:r>
        <w:t xml:space="preserve">l’échantillon test, avec une erreur type d’environ 11 % sur le prix, et</w:t>
      </w:r>
      <w:r>
        <w:t xml:space="preserve"> </w:t>
      </w:r>
      <w:r>
        <w:t xml:space="preserve">ses coefficients se lisent comme des prix implicites : prime d’étage</w:t>
      </w:r>
      <w:r>
        <w:t xml:space="preserve"> </w:t>
      </w:r>
      <w:r>
        <w:t xml:space="preserve">(+6 %), prime d’exposition sud, décote de 63 % du logement social (prix</w:t>
      </w:r>
      <w:r>
        <w:t xml:space="preserve"> </w:t>
      </w:r>
      <w:r>
        <w:t xml:space="preserve">réglementés), et un effet millésime d’environ +19 points entre 2016 et</w:t>
      </w:r>
      <w:r>
        <w:t xml:space="preserve"> </w:t>
      </w:r>
      <w:r>
        <w:t xml:space="preserve">2023 suivi d’un plateau (Figure 6) — les prix du neuf n’ont pas baissé</w:t>
      </w:r>
      <w:r>
        <w:t xml:space="preserve"> </w:t>
      </w:r>
      <w:r>
        <w:t xml:space="preserve">avec la remontée des taux, c’est le volume qui s’est ajusté, en parfaite</w:t>
      </w:r>
      <w:r>
        <w:t xml:space="preserve"> </w:t>
      </w:r>
      <w:r>
        <w:t xml:space="preserve">cohérence avec l’axe B. Une variante régularisée a été testée sans gain :</w:t>
      </w:r>
      <w:r>
        <w:t xml:space="preserve"> </w:t>
      </w:r>
      <w:r>
        <w:t xml:space="preserve">avec cinq mille observations pour une trentaine de coefficients, il n’y</w:t>
      </w:r>
      <w:r>
        <w:t xml:space="preserve"> </w:t>
      </w:r>
      <w:r>
        <w:t xml:space="preserve">avait rien à stabiliser.</w:t>
      </w:r>
    </w:p>
    <w:p>
      <w:pPr>
        <w:pStyle w:val="CaptionedFigure"/>
      </w:pPr>
      <w:r>
        <w:drawing>
          <wp:inline>
            <wp:extent cx="5334000" cy="1970632"/>
            <wp:effectExtent b="0" l="0" r="0" t="0"/>
            <wp:docPr descr="Figure 6 — Effet millésime du modèle de prix (prime par année de réservation, référence 2016)." title="" id="48" name="Picture"/>
            <a:graphic>
              <a:graphicData uri="http://schemas.openxmlformats.org/drawingml/2006/picture">
                <pic:pic>
                  <pic:nvPicPr>
                    <pic:cNvPr descr="figures/fig09_effet_millesim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0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Effet millésime du modèle de prix (prime par année de réservation, référence 2016).</w:t>
      </w:r>
    </w:p>
    <w:p>
      <w:pPr>
        <w:pStyle w:val="BodyText"/>
      </w:pPr>
      <w:r>
        <w:t xml:space="preserve">Appliqué aux 127 appartements en stock, le modèle sert de détecteur : 103</w:t>
      </w:r>
      <w:r>
        <w:t xml:space="preserve"> </w:t>
      </w:r>
      <w:r>
        <w:t xml:space="preserve">sont dans le marché, 8 au-dessus et 16 en dessous du prix estimé, au seuil</w:t>
      </w:r>
      <w:r>
        <w:t xml:space="preserve"> </w:t>
      </w:r>
      <w:r>
        <w:t xml:space="preserve">d’une erreur type (Figure 7).</w:t>
      </w:r>
    </w:p>
    <w:p>
      <w:pPr>
        <w:pStyle w:val="CaptionedFigure"/>
      </w:pPr>
      <w:r>
        <w:drawing>
          <wp:inline>
            <wp:extent cx="5334000" cy="2094331"/>
            <wp:effectExtent b="0" l="0" r="0" t="0"/>
            <wp:docPr descr="Figure 7 — Stock d’appartements : prix grille contre prix de marché estimé, bande à plus ou moins une erreur type." title="" id="51" name="Picture"/>
            <a:graphic>
              <a:graphicData uri="http://schemas.openxmlformats.org/drawingml/2006/picture">
                <pic:pic>
                  <pic:nvPicPr>
                    <pic:cNvPr descr="figures/fig10_stock_grille_vs_march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4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 — Stock d’appartements : prix grille contre prix de marché estimé, bande à plus ou moins une erreur type.</w:t>
      </w:r>
    </w:p>
    <w:p>
      <w:pPr>
        <w:pStyle w:val="BodyText"/>
      </w:pPr>
      <w:r>
        <w:t xml:space="preserve">La recommandation de remise est ensuite posée comme une petite</w:t>
      </w:r>
      <w:r>
        <w:t xml:space="preserve"> </w:t>
      </w:r>
      <w:r>
        <w:t xml:space="preserve">optimisation sous contrainte : maximiser le revenu attendu à douze mois</w:t>
      </w:r>
      <w:r>
        <w:t xml:space="preserve"> </w:t>
      </w:r>
      <w:r>
        <w:t xml:space="preserve">d’une opération en ajustant chaque prix dans des bornes commerciales (-10</w:t>
      </w:r>
      <w:r>
        <w:t xml:space="preserve"> </w:t>
      </w:r>
      <w:r>
        <w:t xml:space="preserve">à +5 %), sous un objectif d’accélération de l’écoulement, la demande</w:t>
      </w:r>
      <w:r>
        <w:t xml:space="preserve"> </w:t>
      </w:r>
      <w:r>
        <w:t xml:space="preserve">réagissant au prix avec une élasticité fixée à -1. Ce paramètre est la</w:t>
      </w:r>
      <w:r>
        <w:t xml:space="preserve"> </w:t>
      </w:r>
      <w:r>
        <w:t xml:space="preserve">fragilité assumée de l’axe : l’estimation interne (-0,81) a le bon signe</w:t>
      </w:r>
      <w:r>
        <w:t xml:space="preserve"> </w:t>
      </w:r>
      <w:r>
        <w:t xml:space="preserve">mais n’est pas significative sur 95 opérations, et la valeur retenue vient</w:t>
      </w:r>
      <w:r>
        <w:t xml:space="preserve"> </w:t>
      </w:r>
      <w:r>
        <w:t xml:space="preserve">de la littérature sur le logement neuf. Le résultat, lui, est robuste et</w:t>
      </w:r>
      <w:r>
        <w:t xml:space="preserve"> </w:t>
      </w:r>
      <w:r>
        <w:t xml:space="preserve">contre-intuitif : à cette élasticité, la remise optimale est</w:t>
      </w:r>
      <w:r>
        <w:t xml:space="preserve"> </w:t>
      </w:r>
      <w:r>
        <w:rPr>
          <w:bCs/>
          <w:b/>
        </w:rPr>
        <w:t xml:space="preserve">uniforme en</w:t>
      </w:r>
      <w:r>
        <w:rPr>
          <w:bCs/>
          <w:b/>
        </w:rPr>
        <w:t xml:space="preserve"> </w:t>
      </w:r>
      <w:r>
        <w:rPr>
          <w:bCs/>
          <w:b/>
        </w:rPr>
        <w:t xml:space="preserve">euros</w:t>
      </w:r>
      <w:r>
        <w:t xml:space="preserve"> </w:t>
      </w:r>
      <w:r>
        <w:t xml:space="preserve">sur tous les lots — environ 23 k€ par lot sur l’opération</w:t>
      </w:r>
      <w:r>
        <w:t xml:space="preserve"> </w:t>
      </w:r>
      <w:r>
        <w:t xml:space="preserve">d’application — donc proportionnellement plus forte sur les petits lots,</w:t>
      </w:r>
      <w:r>
        <w:t xml:space="preserve"> </w:t>
      </w:r>
      <w:r>
        <w:t xml:space="preserve">à l’inverse de la pratique actuelle des remises au cas par cas. Sur</w:t>
      </w:r>
      <w:r>
        <w:t xml:space="preserve"> </w:t>
      </w:r>
      <w:r>
        <w:t xml:space="preserve">l’opération test (18 appartements en stock), viser +8 % d’écoulement</w:t>
      </w:r>
      <w:r>
        <w:t xml:space="preserve"> </w:t>
      </w:r>
      <w:r>
        <w:t xml:space="preserve">déplace le volume attendu de 6,8 à 7,4 lots pour un revenu quasi inchangé</w:t>
      </w:r>
      <w:r>
        <w:t xml:space="preserve"> </w:t>
      </w:r>
      <w:r>
        <w:t xml:space="preserve">(-0,3 %) : l’intérêt est la vitesse et l’économie de frais de portage,</w:t>
      </w:r>
      <w:r>
        <w:t xml:space="preserve"> </w:t>
      </w:r>
      <w:r>
        <w:t xml:space="preserve">que l’objectif ne compte pas.</w:t>
      </w:r>
    </w:p>
    <w:bookmarkEnd w:id="53"/>
    <w:bookmarkStart w:id="54" w:name="signaux-faibles-texte-et-réseau"/>
    <w:p>
      <w:pPr>
        <w:pStyle w:val="Heading2"/>
      </w:pPr>
      <w:r>
        <w:t xml:space="preserve">Signaux faibles (texte et réseau)</w:t>
      </w:r>
    </w:p>
    <w:p>
      <w:pPr>
        <w:pStyle w:val="FirstParagraph"/>
      </w:pPr>
      <w:r>
        <w:t xml:space="preserve">Trois constats simples, obtenus avec des moyens simples, complètent le</w:t>
      </w:r>
      <w:r>
        <w:t xml:space="preserve"> </w:t>
      </w:r>
      <w:r>
        <w:t xml:space="preserve">dispositif. D’abord, un moteur de recherche par similarité sur les 9 688</w:t>
      </w:r>
      <w:r>
        <w:t xml:space="preserve"> </w:t>
      </w:r>
      <w:r>
        <w:t xml:space="preserve">commentaires libres de vente : une requête comme « refus de prêt banque »</w:t>
      </w:r>
      <w:r>
        <w:t xml:space="preserve"> </w:t>
      </w:r>
      <w:r>
        <w:t xml:space="preserve">ou « remise prix hors pack » remonte les dossiers concernés — un outil</w:t>
      </w:r>
      <w:r>
        <w:t xml:space="preserve"> </w:t>
      </w:r>
      <w:r>
        <w:t xml:space="preserve">d’audit des remises non structurées réellement utilisable. Ensuite, le</w:t>
      </w:r>
      <w:r>
        <w:t xml:space="preserve"> </w:t>
      </w:r>
      <w:r>
        <w:t xml:space="preserve">profil des motifs de désistement par agence révèle un problème de</w:t>
      </w:r>
      <w:r>
        <w:t xml:space="preserve"> </w:t>
      </w:r>
      <w:r>
        <w:t xml:space="preserve">qualité de saisie plus qu’un fait commercial : à Salon-de-Provence, 90 %</w:t>
      </w:r>
      <w:r>
        <w:t xml:space="preserve"> </w:t>
      </w:r>
      <w:r>
        <w:t xml:space="preserve">des motifs sont enregistrés en « Autres motifs », ce qui rend les</w:t>
      </w:r>
      <w:r>
        <w:t xml:space="preserve"> </w:t>
      </w:r>
      <w:r>
        <w:t xml:space="preserve">désistements de cette agence inanalysables tant que la saisie n’est pas</w:t>
      </w:r>
      <w:r>
        <w:t xml:space="preserve"> </w:t>
      </w:r>
      <w:r>
        <w:t xml:space="preserve">fiabilisée. Enfin, la structure du réseau de vente est très concentrée :</w:t>
      </w:r>
      <w:r>
        <w:t xml:space="preserve"> </w:t>
      </w:r>
      <w:r>
        <w:t xml:space="preserve">deux acteurs — le réseau interne et un prescripteur externe — portent</w:t>
      </w:r>
      <w:r>
        <w:t xml:space="preserve"> </w:t>
      </w:r>
      <w:r>
        <w:t xml:space="preserve">51,6 % des dossiers attribués, avec des taux de désistement allant du</w:t>
      </w:r>
      <w:r>
        <w:t xml:space="preserve"> </w:t>
      </w:r>
      <w:r>
        <w:t xml:space="preserve">simple au triple (9 % pour le réseau interne, 29,6 % pour le prescripteur</w:t>
      </w:r>
      <w:r>
        <w:t xml:space="preserve"> </w:t>
      </w:r>
      <w:r>
        <w:t xml:space="preserve">externe) ; chaque commission versée sur un dossier qui n’aboutit pas est</w:t>
      </w:r>
      <w:r>
        <w:t xml:space="preserve"> </w:t>
      </w:r>
      <w:r>
        <w:t xml:space="preserve">une dépense sans recette. Une tentative de prédire le désistement à</w:t>
      </w:r>
      <w:r>
        <w:t xml:space="preserve"> </w:t>
      </w:r>
      <w:r>
        <w:t xml:space="preserve">partir du seul texte du commentaire a aussi été menée, avec un contrôle de</w:t>
      </w:r>
      <w:r>
        <w:t xml:space="preserve"> </w:t>
      </w:r>
      <w:r>
        <w:t xml:space="preserve">fuite soigneux : elle plafonne à un F1 de 0,34 — le texte seul ne suffit</w:t>
      </w:r>
      <w:r>
        <w:t xml:space="preserve"> </w:t>
      </w:r>
      <w:r>
        <w:t xml:space="preserve">pas, et il est traité comme signal d’appoint.</w:t>
      </w:r>
    </w:p>
    <w:bookmarkEnd w:id="54"/>
    <w:bookmarkEnd w:id="55"/>
    <w:bookmarkStart w:id="62" w:name="plateforme-streamlit"/>
    <w:p>
      <w:pPr>
        <w:pStyle w:val="Heading1"/>
      </w:pPr>
      <w:r>
        <w:t xml:space="preserve">Plateforme Streamlit</w:t>
      </w:r>
    </w:p>
    <w:p>
      <w:pPr>
        <w:pStyle w:val="FirstParagraph"/>
      </w:pPr>
      <w:r>
        <w:t xml:space="preserve">L’application finale est la meilleure réponse au risque de</w:t>
      </w:r>
      <w:r>
        <w:t xml:space="preserve"> </w:t>
      </w:r>
      <w:r>
        <w:t xml:space="preserve">sur-complexité : ce qui est livré au métier est simple. Cinq pages,</w:t>
      </w:r>
      <w:r>
        <w:t xml:space="preserve"> </w:t>
      </w:r>
      <w:r>
        <w:t xml:space="preserve">périmètre restreint aux 147 opérations de promotion, aucun terme de</w:t>
      </w:r>
      <w:r>
        <w:t xml:space="preserve"> </w:t>
      </w:r>
      <w:r>
        <w:t xml:space="preserve">modélisation à l’écran.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Cs/>
          <w:b/>
        </w:rPr>
        <w:t xml:space="preserve">Vue d’ensemble</w:t>
      </w:r>
      <w:r>
        <w:t xml:space="preserve"> </w:t>
      </w:r>
      <w:r>
        <w:t xml:space="preserve">(Figure 8) donne la situation en quelques secondes :</w:t>
      </w:r>
      <w:r>
        <w:t xml:space="preserve"> </w:t>
      </w:r>
      <w:r>
        <w:t xml:space="preserve">147 opérations suivies, 10 en alerte et 2 à surveiller sur les 68</w:t>
      </w:r>
      <w:r>
        <w:t xml:space="preserve"> </w:t>
      </w:r>
      <w:r>
        <w:t xml:space="preserve">opérations en cours suffisamment engagées, 421 lots principaux en stock,</w:t>
      </w:r>
      <w:r>
        <w:t xml:space="preserve"> </w:t>
      </w:r>
      <w:r>
        <w:t xml:space="preserve">un rythme récent de 4,8 réservations par opération et par mois pour un</w:t>
      </w:r>
      <w:r>
        <w:t xml:space="preserve"> </w:t>
      </w:r>
      <w:r>
        <w:t xml:space="preserve">taux de crédit à 3,11 %. La page</w:t>
      </w:r>
      <w:r>
        <w:t xml:space="preserve"> </w:t>
      </w:r>
      <w:r>
        <w:rPr>
          <w:bCs/>
          <w:b/>
        </w:rPr>
        <w:t xml:space="preserve">Alertes marge</w:t>
      </w:r>
      <w:r>
        <w:t xml:space="preserve"> </w:t>
      </w:r>
      <w:r>
        <w:t xml:space="preserve">(Figure 9) classe les</w:t>
      </w:r>
      <w:r>
        <w:t xml:space="preserve"> </w:t>
      </w:r>
      <w:r>
        <w:t xml:space="preserve">opérations par niveau d’alerte — le score de l’axe A traduit en trois</w:t>
      </w:r>
      <w:r>
        <w:t xml:space="preserve"> </w:t>
      </w:r>
      <w:r>
        <w:t xml:space="preserve">niveaux — et surtout affiche, pour chaque opération, les dépassements déjà</w:t>
      </w:r>
      <w:r>
        <w:t xml:space="preserve"> </w:t>
      </w:r>
      <w:r>
        <w:t xml:space="preserve">engagés en euros et les postes concernés : c’est la partie la plus</w:t>
      </w:r>
      <w:r>
        <w:t xml:space="preserve"> </w:t>
      </w:r>
      <w:r>
        <w:t xml:space="preserve">consultée, et elle repose sur du SQL, pas sur un modèle. La page</w:t>
      </w:r>
      <w:r>
        <w:t xml:space="preserve"> </w:t>
      </w:r>
      <w:r>
        <w:rPr>
          <w:bCs/>
          <w:b/>
        </w:rPr>
        <w:t xml:space="preserve">Rythme</w:t>
      </w:r>
      <w:r>
        <w:rPr>
          <w:bCs/>
          <w:b/>
        </w:rPr>
        <w:t xml:space="preserve"> </w:t>
      </w:r>
      <w:r>
        <w:rPr>
          <w:bCs/>
          <w:b/>
        </w:rPr>
        <w:t xml:space="preserve">de vente</w:t>
      </w:r>
      <w:r>
        <w:t xml:space="preserve"> </w:t>
      </w:r>
      <w:r>
        <w:t xml:space="preserve">transpose l’axe B en simulateur : un curseur de taux 2026</w:t>
      </w:r>
      <w:r>
        <w:t xml:space="preserve"> </w:t>
      </w:r>
      <w:r>
        <w:t xml:space="preserve">produit une phrase de résultat fondée sur l’élasticité du panel, et la</w:t>
      </w:r>
      <w:r>
        <w:t xml:space="preserve"> </w:t>
      </w:r>
      <w:r>
        <w:t xml:space="preserve">trajectoire d’écoulement de chaque programme donne son délai estimé. La</w:t>
      </w:r>
      <w:r>
        <w:t xml:space="preserve"> </w:t>
      </w:r>
      <w:r>
        <w:t xml:space="preserve">page</w:t>
      </w:r>
      <w:r>
        <w:t xml:space="preserve"> </w:t>
      </w:r>
      <w:r>
        <w:rPr>
          <w:bCs/>
          <w:b/>
        </w:rPr>
        <w:t xml:space="preserve">Pilotage des prix</w:t>
      </w:r>
      <w:r>
        <w:t xml:space="preserve"> </w:t>
      </w:r>
      <w:r>
        <w:t xml:space="preserve">affiche le diagnostic du stock et la grille</w:t>
      </w:r>
      <w:r>
        <w:t xml:space="preserve"> </w:t>
      </w:r>
      <w:r>
        <w:t xml:space="preserve">d’ajustement recommandée sous un objectif d’accélération choisi au</w:t>
      </w:r>
      <w:r>
        <w:t xml:space="preserve"> </w:t>
      </w:r>
      <w:r>
        <w:t xml:space="preserve">curseur. La page</w:t>
      </w:r>
      <w:r>
        <w:t xml:space="preserve"> </w:t>
      </w:r>
      <w:r>
        <w:rPr>
          <w:bCs/>
          <w:b/>
        </w:rPr>
        <w:t xml:space="preserve">Qualité commerciale</w:t>
      </w:r>
      <w:r>
        <w:t xml:space="preserve"> </w:t>
      </w:r>
      <w:r>
        <w:t xml:space="preserve">reprend les signaux faibles,</w:t>
      </w:r>
      <w:r>
        <w:t xml:space="preserve"> </w:t>
      </w:r>
      <w:r>
        <w:t xml:space="preserve">alerte de saisie comprise.</w:t>
      </w:r>
    </w:p>
    <w:p>
      <w:pPr>
        <w:pStyle w:val="CaptionedFigure"/>
      </w:pPr>
      <w:r>
        <w:drawing>
          <wp:inline>
            <wp:extent cx="5334000" cy="3889375"/>
            <wp:effectExtent b="0" l="0" r="0" t="0"/>
            <wp:docPr descr="Figure 8 — Plateforme, page « Vue d’ensemble »." title="" id="57" name="Picture"/>
            <a:graphic>
              <a:graphicData uri="http://schemas.openxmlformats.org/drawingml/2006/picture">
                <pic:pic>
                  <pic:nvPicPr>
                    <pic:cNvPr descr="figures/plateforme_vue_ensembl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 — Plateforme, page « Vue d’ensemble ».</w:t>
      </w:r>
    </w:p>
    <w:p>
      <w:pPr>
        <w:pStyle w:val="CaptionedFigure"/>
      </w:pPr>
      <w:r>
        <w:drawing>
          <wp:inline>
            <wp:extent cx="5334000" cy="3889375"/>
            <wp:effectExtent b="0" l="0" r="0" t="0"/>
            <wp:docPr descr="Figure 9 — Plateforme, page « Alertes marge » : niveaux d’alerte et dépassements engagés en euros." title="" id="60" name="Picture"/>
            <a:graphic>
              <a:graphicData uri="http://schemas.openxmlformats.org/drawingml/2006/picture">
                <pic:pic>
                  <pic:nvPicPr>
                    <pic:cNvPr descr="figures/plateforme_alerte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 — Plateforme, page « Alertes marge » : niveaux d’alerte et dépassements engagés en euros.</w:t>
      </w:r>
    </w:p>
    <w:p>
      <w:pPr>
        <w:pStyle w:val="BodyText"/>
      </w:pPr>
      <w:r>
        <w:t xml:space="preserve">Chaque page a été vérifiée par le cadre de test de Streamlit (exécution</w:t>
      </w:r>
      <w:r>
        <w:t xml:space="preserve"> </w:t>
      </w:r>
      <w:r>
        <w:t xml:space="preserve">sans exception, y compris aux bornes des curseurs et sur les sélections</w:t>
      </w:r>
      <w:r>
        <w:t xml:space="preserve"> </w:t>
      </w:r>
      <w:r>
        <w:t xml:space="preserve">vides), et l’ensemble se reconstruit depuis les exports bruts.</w:t>
      </w:r>
    </w:p>
    <w:bookmarkEnd w:id="62"/>
    <w:bookmarkStart w:id="63" w:name="périmètre-et-limites"/>
    <w:p>
      <w:pPr>
        <w:pStyle w:val="Heading1"/>
      </w:pPr>
      <w:r>
        <w:t xml:space="preserve">Périmètre et limites</w:t>
      </w:r>
    </w:p>
    <w:p>
      <w:pPr>
        <w:pStyle w:val="FirstParagraph"/>
      </w:pPr>
      <w:r>
        <w:t xml:space="preserve">La limite principale est structurelle et commande la suite du projet :</w:t>
      </w:r>
      <w:r>
        <w:t xml:space="preserve"> </w:t>
      </w:r>
      <w:r>
        <w:t xml:space="preserve">les données budgétaires sont une photographie à date, sans historique des</w:t>
      </w:r>
      <w:r>
        <w:t xml:space="preserve"> </w:t>
      </w:r>
      <w:r>
        <w:t xml:space="preserve">révisions. C’est elle qui plafonne l’axe A (un R² de 0,08 en régression,</w:t>
      </w:r>
      <w:r>
        <w:t xml:space="preserve"> </w:t>
      </w:r>
      <w:r>
        <w:t xml:space="preserve">des F1 de l’ordre de 0,3 en classification) : on ne peut pas apprendre la</w:t>
      </w:r>
      <w:r>
        <w:t xml:space="preserve"> </w:t>
      </w:r>
      <w:r>
        <w:t xml:space="preserve">dynamique d’une dérive sur une image fixe. Ma première recommandation à</w:t>
      </w:r>
      <w:r>
        <w:t xml:space="preserve"> </w:t>
      </w:r>
      <w:r>
        <w:t xml:space="preserve">l’entreprise est donc d’</w:t>
      </w:r>
      <w:r>
        <w:rPr>
          <w:bCs/>
          <w:b/>
        </w:rPr>
        <w:t xml:space="preserve">historiser les exports mensuels</w:t>
      </w:r>
      <w:r>
        <w:t xml:space="preserve"> </w:t>
      </w:r>
      <w:r>
        <w:t xml:space="preserve">dans le</w:t>
      </w:r>
      <w:r>
        <w:t xml:space="preserve"> </w:t>
      </w:r>
      <w:r>
        <w:t xml:space="preserve">nouvel ERP — au bout d’un an, le score statique deviendra un vrai suivi</w:t>
      </w:r>
      <w:r>
        <w:t xml:space="preserve"> </w:t>
      </w:r>
      <w:r>
        <w:t xml:space="preserve">de trajectoire.</w:t>
      </w:r>
    </w:p>
    <w:p>
      <w:pPr>
        <w:pStyle w:val="BodyText"/>
      </w:pPr>
      <w:r>
        <w:t xml:space="preserve">Les autres limites sont assumées et documentées : l’échantillon de l’axe</w:t>
      </w:r>
      <w:r>
        <w:t xml:space="preserve"> </w:t>
      </w:r>
      <w:r>
        <w:t xml:space="preserve">A est petit (123 opérations) et les écarts entre modèles y sont</w:t>
      </w:r>
      <w:r>
        <w:t xml:space="preserve"> </w:t>
      </w:r>
      <w:r>
        <w:t xml:space="preserve">indiscernables, d’où le choix d’un modèle interprétable unique ;</w:t>
      </w:r>
      <w:r>
        <w:t xml:space="preserve"> </w:t>
      </w:r>
      <w:r>
        <w:t xml:space="preserve">l’élasticité de l’axe C n’a pas pu être estimée significativement en</w:t>
      </w:r>
      <w:r>
        <w:t xml:space="preserve"> </w:t>
      </w:r>
      <w:r>
        <w:t xml:space="preserve">interne et vient de la littérature — les recommandations de prix sont des</w:t>
      </w:r>
      <w:r>
        <w:t xml:space="preserve"> </w:t>
      </w:r>
      <w:r>
        <w:t xml:space="preserve">aides à la décision, non opposables, et la grille reste sous le contrôle</w:t>
      </w:r>
      <w:r>
        <w:t xml:space="preserve"> </w:t>
      </w:r>
      <w:r>
        <w:t xml:space="preserve">de la direction commerciale ; les intervalles de prévision de l’axe B</w:t>
      </w:r>
      <w:r>
        <w:t xml:space="preserve"> </w:t>
      </w:r>
      <w:r>
        <w:t xml:space="preserve">ignorent l’incertitude sur les taux futurs eux-mêmes, raison pour</w:t>
      </w:r>
      <w:r>
        <w:t xml:space="preserve"> </w:t>
      </w:r>
      <w:r>
        <w:t xml:space="preserve">laquelle la plateforme présente des scénarios plutôt qu’une prévision</w:t>
      </w:r>
      <w:r>
        <w:t xml:space="preserve"> </w:t>
      </w:r>
      <w:r>
        <w:t xml:space="preserve">unique ; le texte des commentaires est un signal d’appoint, pas un</w:t>
      </w:r>
      <w:r>
        <w:t xml:space="preserve"> </w:t>
      </w:r>
      <w:r>
        <w:t xml:space="preserve">prédicteur. Enfin, la plateforme couvre la promotion (147 opérations) et</w:t>
      </w:r>
      <w:r>
        <w:t xml:space="preserve"> </w:t>
      </w:r>
      <w:r>
        <w:t xml:space="preserve">exclut l’aménagement foncier, dont la logique économique justifierait un</w:t>
      </w:r>
      <w:r>
        <w:t xml:space="preserve"> </w:t>
      </w:r>
      <w:r>
        <w:t xml:space="preserve">traitement dédié ; l’analyse, elle, couvre les 267 opérations, et la</w:t>
      </w:r>
      <w:r>
        <w:t xml:space="preserve"> </w:t>
      </w:r>
      <w:r>
        <w:t xml:space="preserve">frontière entre les deux activités y ressort d’ailleurs d’elle-même dès</w:t>
      </w:r>
      <w:r>
        <w:t xml:space="preserve"> </w:t>
      </w:r>
      <w:r>
        <w:t xml:space="preserve">l’analyse exploratoire — validation involontaire du choix de périmètre.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9" Target="media/rId59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Copilote Financier : un outil d’aide à la décision pour le pilotage des opérations de promotion</dc:title>
  <dc:creator>Yasmina Saoud — Master MIASHS, Université Paul Valéry Montpellier III</dc:creator>
  <dc:language>fr</dc:language>
  <cp:keywords/>
  <dcterms:created xsi:type="dcterms:W3CDTF">2026-08-16T18:45:04Z</dcterms:created>
  <dcterms:modified xsi:type="dcterms:W3CDTF">2026-08-16T18:45:04Z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Année universitaire 2025-2026</vt:lpwstr>
  </property>
  <property fmtid="{D5CDD505-2E9C-101B-9397-08002B2CF9AE}" pid="3" name="output">
    <vt:lpwstr/>
  </property>
</Properties>
</file>