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Arial" w:hAnsi="Arial"/>
          <w:b/>
          <w:color w:val="1F4E79"/>
          <w:sz w:val="17"/>
        </w:rPr>
        <w:t>RESEARCH SUMMARY | PHASE 7B</w:t>
      </w:r>
    </w:p>
    <w:p>
      <w:pPr>
        <w:keepNext/>
        <w:spacing w:before="0" w:after="40"/>
      </w:pPr>
      <w:r>
        <w:rPr>
          <w:rFonts w:ascii="Arial" w:hAnsi="Arial"/>
          <w:b/>
          <w:color w:val="000000"/>
          <w:sz w:val="35"/>
        </w:rPr>
        <w:t>Reliable Robotic Manipulation Through Evidence-Grounded Control</w:t>
      </w:r>
    </w:p>
    <w:p>
      <w:pPr>
        <w:keepNext/>
        <w:spacing w:before="0" w:after="100"/>
      </w:pPr>
      <w:r>
        <w:rPr>
          <w:rFonts w:ascii="Arial" w:hAnsi="Arial"/>
          <w:b w:val="0"/>
          <w:color w:val="525960"/>
          <w:sz w:val="21"/>
        </w:rPr>
        <w:t>Across identical simulation protocols, optimized PID produced the strongest aggregate reliability while no controller dominated every condition.</w:t>
      </w:r>
    </w:p>
    <w:p>
      <w:pPr>
        <w:pStyle w:val="Heading1"/>
      </w:pPr>
      <w:r>
        <w:rPr>
          <w:rFonts w:ascii="Arial" w:hAnsi="Arial"/>
          <w:b w:val="0"/>
          <w:color w:val="000000"/>
          <w:sz w:val="20"/>
        </w:rPr>
        <w:t>Problem and research question</w:t>
      </w:r>
    </w:p>
    <w:p>
      <w:pPr>
        <w:spacing w:after="60"/>
      </w:pPr>
      <w:r>
        <w:rPr>
          <w:rFonts w:ascii="Arial" w:hAnsi="Arial"/>
          <w:b w:val="0"/>
          <w:color w:val="000000"/>
          <w:sz w:val="20"/>
        </w:rPr>
        <w:t>Reliable manipulation requires more than nominal trajectory tracking: controllers must remain interpretable under payload, configuration, disturbance, noise, and actuator changes.</w:t>
      </w:r>
    </w:p>
    <w:p>
      <w:pPr>
        <w:pStyle w:val="Heading1"/>
      </w:pPr>
      <w:r>
        <w:rPr>
          <w:rFonts w:ascii="Arial" w:hAnsi="Arial"/>
          <w:b w:val="0"/>
          <w:color w:val="000000"/>
          <w:sz w:val="20"/>
        </w:rPr>
        <w:t>Method</w:t>
      </w:r>
    </w:p>
    <w:p>
      <w:pPr>
        <w:spacing w:after="60"/>
      </w:pPr>
      <w:r>
        <w:rPr>
          <w:rFonts w:ascii="Arial" w:hAnsi="Arial"/>
          <w:b w:val="0"/>
          <w:color w:val="000000"/>
          <w:sz w:val="20"/>
        </w:rPr>
        <w:t>A 2-link arm compares manual PID, Mamdani Fuzzy-PID, and bounded optimization-assisted PID under identical 0.001 s simulation, trajectory, torque-limit, threshold, and paired-seed protocols.</w:t>
      </w:r>
    </w:p>
    <w:p>
      <w:pPr>
        <w:pStyle w:val="Heading1"/>
        <w:spacing w:before="80" w:after="40"/>
      </w:pPr>
      <w:r>
        <w:rPr>
          <w:rFonts w:ascii="Arial" w:hAnsi="Arial"/>
          <w:b w:val="0"/>
          <w:color w:val="000000"/>
          <w:sz w:val="20"/>
        </w:rPr>
        <w:t>Key results</w:t>
      </w:r>
    </w:p>
    <w:p>
      <w:pPr>
        <w:spacing w:before="0" w:after="40"/>
      </w:pPr>
      <w:r>
        <w:rPr>
          <w:rFonts w:ascii="Arial" w:hAnsi="Arial"/>
          <w:b w:val="0"/>
          <w:color w:val="525960"/>
          <w:sz w:val="16"/>
        </w:rPr>
        <w:t>Evidence snapshot: 7.283% nominal objective reduction; 10/13 optimized PID deterministic scenarios passed; 30/30 vs 0/30 per controller-scenario cell: isolated-noise cell vs full-combined-stress cell</w:t>
      </w:r>
    </w:p>
    <w:tbl>
      <w:tblPr>
        <w:tblW w:type="dxa" w:w="10512"/>
        <w:tblLayout w:type="fixed"/>
        <w:tblLook w:firstColumn="1" w:firstRow="1" w:lastColumn="0" w:lastRow="0" w:noHBand="0" w:noVBand="1" w:val="04A0"/>
        <w:tblInd w:w="0" w:type="dxa"/>
      </w:tblPr>
      <w:tblGrid>
        <w:gridCol w:w="3504"/>
        <w:gridCol w:w="3504"/>
        <w:gridCol w:w="3504"/>
      </w:tblGrid>
      <w:tr>
        <w:trPr>
          <w:trHeight w:hRule="auto"/>
        </w:trPr>
        <w:tc>
          <w:tcPr>
            <w:tcW w:type="dxa" w:w="35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8EEF5"/>
          </w:tcPr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F4E79"/>
                <w:sz w:val="28"/>
              </w:rPr>
              <w:t>7.283%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525960"/>
                <w:sz w:val="16"/>
              </w:rPr>
              <w:t>nominal objective reduction</w:t>
            </w:r>
          </w:p>
        </w:tc>
        <w:tc>
          <w:tcPr>
            <w:tcW w:type="dxa" w:w="35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8EEF5"/>
          </w:tcPr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F4E79"/>
                <w:sz w:val="28"/>
              </w:rPr>
              <w:t>10/13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525960"/>
                <w:sz w:val="16"/>
              </w:rPr>
              <w:t>optimized PID deterministic scenarios passed</w:t>
            </w:r>
          </w:p>
        </w:tc>
        <w:tc>
          <w:tcPr>
            <w:tcW w:type="dxa" w:w="35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8EEF5"/>
          </w:tcPr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F4E79"/>
                <w:sz w:val="28"/>
              </w:rPr>
              <w:t>30/30 vs 0/30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525960"/>
                <w:sz w:val="16"/>
              </w:rPr>
              <w:t>per controller-scenario cell: isolated-noise cell vs full-combined-stress cell</w:t>
            </w:r>
          </w:p>
        </w:tc>
      </w:tr>
    </w:tbl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3886200" cy="24935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erministic_robustness_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493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before="20" w:after="60"/>
        <w:jc w:val="center"/>
      </w:pPr>
      <w:r>
        <w:rPr>
          <w:rFonts w:ascii="Arial" w:hAnsi="Arial"/>
          <w:b w:val="0"/>
          <w:color w:val="000000"/>
          <w:sz w:val="20"/>
        </w:rPr>
        <w:t>Figure. Deterministic stress testing separates aggregate controller reliability while preserving failed cases.</w:t>
      </w:r>
    </w:p>
    <w:p>
      <w:pPr>
        <w:pStyle w:val="Heading1"/>
        <w:spacing w:before="40" w:after="20"/>
      </w:pPr>
      <w:r>
        <w:rPr>
          <w:rFonts w:ascii="Arial" w:hAnsi="Arial"/>
          <w:b w:val="0"/>
          <w:color w:val="000000"/>
          <w:sz w:val="20"/>
        </w:rPr>
        <w:t>Why this matters</w:t>
      </w:r>
    </w:p>
    <w:p>
      <w:pPr>
        <w:spacing w:after="40"/>
      </w:pPr>
      <w:r>
        <w:rPr>
          <w:rFonts w:ascii="Arial" w:hAnsi="Arial"/>
          <w:b w:val="0"/>
          <w:color w:val="000000"/>
          <w:sz w:val="20"/>
        </w:rPr>
        <w:t>The project supplies a transparent low-level execution layer that can sit beneath future perception, language, and task-planning systems.</w:t>
      </w:r>
    </w:p>
    <w:p>
      <w:pPr>
        <w:pStyle w:val="Heading1"/>
        <w:spacing w:before="40" w:after="20"/>
      </w:pPr>
      <w:r>
        <w:rPr>
          <w:rFonts w:ascii="Arial" w:hAnsi="Arial"/>
          <w:b w:val="0"/>
          <w:color w:val="000000"/>
          <w:sz w:val="20"/>
        </w:rPr>
        <w:t>Simulation scope</w:t>
      </w:r>
    </w:p>
    <w:p>
      <w:pPr>
        <w:spacing w:after="40"/>
      </w:pPr>
      <w:r>
        <w:rPr>
          <w:rFonts w:ascii="Arial" w:hAnsi="Arial"/>
          <w:b w:val="0"/>
          <w:color w:val="000000"/>
          <w:sz w:val="20"/>
        </w:rPr>
        <w:t>Simulation only; no hardware fidelity, collision avoidance, perception, online safety supervisor, or end-to-end embodied-AI implementation is claimed.</w:t>
      </w:r>
    </w:p>
    <w:p>
      <w:pPr>
        <w:pStyle w:val="Heading1"/>
        <w:spacing w:before="40" w:after="20"/>
      </w:pPr>
      <w:r>
        <w:rPr>
          <w:rFonts w:ascii="Arial" w:hAnsi="Arial"/>
          <w:b w:val="0"/>
          <w:color w:val="000000"/>
          <w:sz w:val="20"/>
        </w:rPr>
        <w:t>Limitations and next steps</w:t>
      </w:r>
    </w:p>
    <w:p>
      <w:pPr>
        <w:spacing w:after="40"/>
      </w:pPr>
      <w:r>
        <w:rPr>
          <w:rFonts w:ascii="Arial" w:hAnsi="Arial"/>
          <w:b w:val="0"/>
          <w:color w:val="000000"/>
          <w:sz w:val="20"/>
        </w:rPr>
        <w:t>Validate on hardware, add calibrated sensing uncertainty, and introduce runtime safety monitoring before deployment claims.</w:t>
      </w:r>
    </w:p>
    <w:p>
      <w:pPr>
        <w:keepLines/>
        <w:spacing w:before="40" w:after="0"/>
      </w:pPr>
      <w:r>
        <w:rPr>
          <w:rFonts w:ascii="Arial" w:hAnsi="Arial"/>
          <w:b w:val="0"/>
          <w:color w:val="525960"/>
          <w:sz w:val="15"/>
        </w:rPr>
        <w:t>Sources: docs/report/technical_report.md | results/report/report_evidence.json | docs/report/build_manifest.json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2" w:lineRule="auto"/>
    </w:pPr>
    <w:rPr>
      <w:rFonts w:ascii="Arial" w:hAnsi="Arial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40" w:after="60"/>
    </w:pPr>
    <w:rPr>
      <w:rFonts w:ascii="Arial" w:hAnsi="Arial"/>
      <w:b w:val="0"/>
      <w:bCs/>
      <w:color w:val="52596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Reliable Robotic Manipulation Through Evidence-Grounded Control</dc:title>
  <dc:subject>Phase 7B one-page research summary</dc:subject>
  <dc:creator>PID vs Fuzzy PID project</dc:creator>
  <cp:keywords/>
  <dc:description>Deterministic Phase 7B research-summary pipeline</dc:description>
  <cp:lastModifiedBy/>
  <cp:revision>1</cp:revision>
  <dcterms:created xsi:type="dcterms:W3CDTF">2026-08-21T00:00:00Z</dcterms:created>
  <dcterms:modified xsi:type="dcterms:W3CDTF">2026-08-21T00:00:00Z</dcterms:modified>
  <cp:category/>
</cp:coreProperties>
</file>