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907" w:rsidRDefault="001F1907"/>
    <w:p w:rsidR="005D2CC7" w:rsidRDefault="005D2CC7">
      <w:r>
        <w:t>Immune checkpoint inhibitors (ICI) block PD-1/PD-L1.</w:t>
      </w:r>
    </w:p>
    <w:p w:rsidR="005D2CC7" w:rsidRDefault="005D2CC7">
      <w:r>
        <w:t>ICI reactivate immune response to tumor cells by inhibiting the interaction</w:t>
      </w:r>
      <w:r w:rsidR="002F3B1D">
        <w:t xml:space="preserve"> action of PD-L1 and PD-1.</w:t>
      </w:r>
    </w:p>
    <w:p w:rsidR="004D449E" w:rsidRDefault="004D449E" w:rsidP="004D449E">
      <w:bookmarkStart w:id="0" w:name="OLE_LINK1"/>
      <w:r>
        <w:t xml:space="preserve">Immune checkpoint inhibitors (ICI): </w:t>
      </w:r>
      <w:bookmarkEnd w:id="0"/>
      <w:r>
        <w:t>a type of immunotherapy that block immune checkpoint proteins from binding with partner proteins.</w:t>
      </w:r>
    </w:p>
    <w:p w:rsidR="004D449E" w:rsidRDefault="004D449E" w:rsidP="004D449E">
      <w:r>
        <w:t>PD-1: receptor often on the surface of immune cells, inhibitor of both adaptive and innate immune responses</w:t>
      </w:r>
    </w:p>
    <w:p w:rsidR="004D449E" w:rsidRDefault="004D449E" w:rsidP="004D449E">
      <w:r>
        <w:t>PD-L1: protein that has a broader presence, including on the tumor cells.</w:t>
      </w:r>
    </w:p>
    <w:p w:rsidR="004D449E" w:rsidRDefault="004D449E" w:rsidP="004D449E">
      <w:r>
        <w:t>PD-1/PD-L1 pathway controls the induction and maintenance of immune tolerance within the tumor microenvironment.</w:t>
      </w:r>
    </w:p>
    <w:p w:rsidR="002F3B1D" w:rsidRDefault="002F3B1D"/>
    <w:p w:rsidR="004D449E" w:rsidRDefault="004D449E"/>
    <w:p w:rsidR="004D449E" w:rsidRDefault="004D449E"/>
    <w:p w:rsidR="002F3B1D" w:rsidRDefault="006D2F80">
      <w:r>
        <w:t xml:space="preserve">Efficacy: </w:t>
      </w:r>
      <w:r w:rsidR="005E28CF" w:rsidRPr="005E28CF">
        <w:rPr>
          <w:b/>
        </w:rPr>
        <w:t>primary outcome</w:t>
      </w:r>
      <w:r w:rsidR="005E28CF">
        <w:t xml:space="preserve">: </w:t>
      </w:r>
      <w:r w:rsidR="002F3B1D" w:rsidRPr="005E28CF">
        <w:rPr>
          <w:u w:val="single"/>
        </w:rPr>
        <w:t>Objective response rate (ORR)</w:t>
      </w:r>
      <w:r w:rsidR="002F3B1D">
        <w:t xml:space="preserve"> to anti-PD-1/anti-PD-L1 therapies ~ 24%.</w:t>
      </w:r>
    </w:p>
    <w:p w:rsidR="005E28CF" w:rsidRDefault="005E28CF">
      <w:r w:rsidRPr="005E28CF">
        <w:rPr>
          <w:u w:val="single"/>
        </w:rPr>
        <w:t>Clinical benefit (CB)</w:t>
      </w:r>
      <w:r>
        <w:t xml:space="preserve"> if ORR is not available.</w:t>
      </w:r>
    </w:p>
    <w:p w:rsidR="002F3B1D" w:rsidRDefault="006D2F80">
      <w:r>
        <w:t xml:space="preserve">Adverse Events (AE): </w:t>
      </w:r>
      <w:r w:rsidR="002F3B1D">
        <w:t>16% patients experience significant toxicity (colitis and endocrine organ dysfunction).</w:t>
      </w:r>
    </w:p>
    <w:p w:rsidR="002F3B1D" w:rsidRDefault="005E28CF" w:rsidP="005E28CF">
      <w:pPr>
        <w:spacing w:after="0" w:line="240" w:lineRule="auto"/>
      </w:pPr>
      <w:r>
        <w:t>Responses: determined using Response evaluation criteria in solid tumors (RECIST) or modified RECIST</w:t>
      </w:r>
    </w:p>
    <w:p w:rsidR="00ED1F91" w:rsidRDefault="006E3EFA">
      <w:hyperlink r:id="rId5" w:history="1">
        <w:r w:rsidR="005E28CF" w:rsidRPr="00A51EA5">
          <w:rPr>
            <w:rStyle w:val="Hyperlink"/>
          </w:rPr>
          <w:t>https://recist.eortc.org/</w:t>
        </w:r>
      </w:hyperlink>
    </w:p>
    <w:p w:rsidR="006D2F80" w:rsidRDefault="006D2F80">
      <w:r>
        <w:t>Discriminate responders and nonresponders:</w:t>
      </w:r>
    </w:p>
    <w:p w:rsidR="006D2F80" w:rsidRDefault="006D2F80" w:rsidP="006D2F80">
      <w:pPr>
        <w:pStyle w:val="ListParagraph"/>
        <w:numPr>
          <w:ilvl w:val="0"/>
          <w:numId w:val="1"/>
        </w:numPr>
      </w:pPr>
      <w:r>
        <w:t>Whether PD-L1/PD-1 protein expression</w:t>
      </w:r>
    </w:p>
    <w:p w:rsidR="006D2F80" w:rsidRDefault="006D2F80" w:rsidP="006D2F80">
      <w:pPr>
        <w:pStyle w:val="ListParagraph"/>
        <w:numPr>
          <w:ilvl w:val="0"/>
          <w:numId w:val="1"/>
        </w:numPr>
      </w:pPr>
      <w:r>
        <w:t>Tumor mutational burden (TMB)</w:t>
      </w:r>
    </w:p>
    <w:p w:rsidR="006D2F80" w:rsidRDefault="006D2F80" w:rsidP="006D2F80">
      <w:pPr>
        <w:pStyle w:val="ListParagraph"/>
        <w:numPr>
          <w:ilvl w:val="0"/>
          <w:numId w:val="1"/>
        </w:numPr>
      </w:pPr>
      <w:r>
        <w:t>Immune-mediated AE (imAEs)</w:t>
      </w:r>
    </w:p>
    <w:p w:rsidR="006D2F80" w:rsidRDefault="006D2F80" w:rsidP="006D2F80">
      <w:pPr>
        <w:pStyle w:val="ListParagraph"/>
        <w:numPr>
          <w:ilvl w:val="0"/>
          <w:numId w:val="1"/>
        </w:numPr>
      </w:pPr>
      <w:r>
        <w:t>Microbiome signature</w:t>
      </w:r>
    </w:p>
    <w:p w:rsidR="006D2F80" w:rsidRDefault="006D2F80" w:rsidP="006D2F80">
      <w:r>
        <w:t xml:space="preserve">Results are inconsistent. 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Patient Population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Sample collection and processing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Technology platforms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Biomarker thresholds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Specific ICI used</w:t>
      </w:r>
    </w:p>
    <w:p w:rsidR="006D2F80" w:rsidRDefault="006D2F80" w:rsidP="006D2F80">
      <w:pPr>
        <w:pStyle w:val="ListParagraph"/>
        <w:numPr>
          <w:ilvl w:val="0"/>
          <w:numId w:val="2"/>
        </w:numPr>
      </w:pPr>
      <w:r>
        <w:t>Limited sample size</w:t>
      </w:r>
    </w:p>
    <w:p w:rsidR="006D2F80" w:rsidRDefault="006D2F80" w:rsidP="006D2F80"/>
    <w:p w:rsidR="006D2F80" w:rsidRDefault="006D2F80" w:rsidP="006D2F80">
      <w:r>
        <w:t>Meta-analysis: 100 studies and 18792 patients.</w:t>
      </w:r>
    </w:p>
    <w:p w:rsidR="006D2F80" w:rsidRDefault="006D2F80" w:rsidP="006D2F80"/>
    <w:p w:rsidR="006D2F80" w:rsidRDefault="00ED1F91">
      <w:r>
        <w:t xml:space="preserve">Biomarkers: 9 classes, 3 frequently observed: </w:t>
      </w:r>
      <w:r w:rsidR="000675D2">
        <w:t>(</w:t>
      </w:r>
      <w:bookmarkStart w:id="1" w:name="OLE_LINK2"/>
      <w:bookmarkStart w:id="2" w:name="OLE_LINK3"/>
      <w:r>
        <w:t>PD-L1 protein expression</w:t>
      </w:r>
      <w:bookmarkEnd w:id="1"/>
      <w:bookmarkEnd w:id="2"/>
      <w:r>
        <w:t>, TMB, multimodal biomarkers.</w:t>
      </w:r>
      <w:r w:rsidR="000675D2">
        <w:t>)</w:t>
      </w:r>
    </w:p>
    <w:p w:rsidR="00ED1F91" w:rsidRDefault="004E5509" w:rsidP="004E5509">
      <w:pPr>
        <w:pStyle w:val="ListParagraph"/>
        <w:numPr>
          <w:ilvl w:val="0"/>
          <w:numId w:val="3"/>
        </w:numPr>
        <w:ind w:left="360"/>
      </w:pPr>
      <w:r w:rsidRPr="004E5509">
        <w:rPr>
          <w:b/>
        </w:rPr>
        <w:t>PD-L1 protein expression</w:t>
      </w:r>
      <w:r>
        <w:t>: greater than the expression threshold &gt; more likely to respond to treatment</w:t>
      </w:r>
    </w:p>
    <w:p w:rsidR="004E5509" w:rsidRDefault="004E5509" w:rsidP="004E5509">
      <w:pPr>
        <w:pStyle w:val="ListParagraph"/>
        <w:numPr>
          <w:ilvl w:val="0"/>
          <w:numId w:val="3"/>
        </w:numPr>
        <w:ind w:left="360"/>
      </w:pPr>
      <w:r w:rsidRPr="004E5509">
        <w:rPr>
          <w:b/>
        </w:rPr>
        <w:t>TMB</w:t>
      </w:r>
      <w:r>
        <w:t>: DNA mutations across tumor genome. Median TMB was a commonly reported threshold for assessing response to ICIs. Above the threshold was indicative of an increased likelihood of response to treatment.</w:t>
      </w:r>
    </w:p>
    <w:p w:rsidR="004E5509" w:rsidRDefault="004E5509" w:rsidP="004E5509">
      <w:pPr>
        <w:pStyle w:val="ListParagraph"/>
        <w:numPr>
          <w:ilvl w:val="0"/>
          <w:numId w:val="3"/>
        </w:numPr>
        <w:ind w:left="360"/>
      </w:pPr>
      <w:r w:rsidRPr="004E5509">
        <w:rPr>
          <w:b/>
        </w:rPr>
        <w:t>T cell-related gene signatures (TGSs)</w:t>
      </w:r>
      <w:r>
        <w:t xml:space="preserve">: </w:t>
      </w:r>
    </w:p>
    <w:p w:rsidR="00250CEA" w:rsidRDefault="00250CEA" w:rsidP="00250CEA">
      <w:pPr>
        <w:pStyle w:val="ListParagraph"/>
        <w:numPr>
          <w:ilvl w:val="0"/>
          <w:numId w:val="4"/>
        </w:numPr>
        <w:ind w:left="720"/>
      </w:pPr>
      <w:r>
        <w:t>Epithelial-mesenchymal transition-related gene expression correlated with T-cell infiltration</w:t>
      </w:r>
    </w:p>
    <w:p w:rsidR="00250CEA" w:rsidRDefault="00250CEA" w:rsidP="00250CEA">
      <w:pPr>
        <w:pStyle w:val="ListParagraph"/>
        <w:numPr>
          <w:ilvl w:val="0"/>
          <w:numId w:val="4"/>
        </w:numPr>
        <w:ind w:left="720"/>
      </w:pPr>
      <w:r>
        <w:t>Total RNA and mRNA.</w:t>
      </w:r>
    </w:p>
    <w:p w:rsidR="00250CEA" w:rsidRDefault="00250CEA" w:rsidP="00250CEA"/>
    <w:p w:rsidR="004E5509" w:rsidRDefault="004D449E" w:rsidP="004E5509">
      <w:pPr>
        <w:pStyle w:val="ListParagraph"/>
        <w:numPr>
          <w:ilvl w:val="0"/>
          <w:numId w:val="3"/>
        </w:numPr>
        <w:ind w:left="360"/>
      </w:pPr>
      <w:r w:rsidRPr="004D449E">
        <w:rPr>
          <w:b/>
        </w:rPr>
        <w:t>CD8+</w:t>
      </w:r>
      <w:r>
        <w:t xml:space="preserve">: </w:t>
      </w:r>
    </w:p>
    <w:p w:rsidR="004D449E" w:rsidRPr="004D449E" w:rsidRDefault="004D449E" w:rsidP="004E5509">
      <w:pPr>
        <w:pStyle w:val="ListParagraph"/>
        <w:numPr>
          <w:ilvl w:val="0"/>
          <w:numId w:val="3"/>
        </w:numPr>
        <w:ind w:left="360"/>
      </w:pPr>
      <w:r>
        <w:rPr>
          <w:b/>
        </w:rPr>
        <w:t>Microbiome signature</w:t>
      </w:r>
    </w:p>
    <w:p w:rsidR="004D449E" w:rsidRDefault="004D449E" w:rsidP="004D449E">
      <w:pPr>
        <w:pStyle w:val="ListParagraph"/>
        <w:numPr>
          <w:ilvl w:val="0"/>
          <w:numId w:val="3"/>
        </w:numPr>
        <w:ind w:left="360"/>
        <w:rPr>
          <w:b/>
        </w:rPr>
      </w:pPr>
      <w:r w:rsidRPr="004D449E">
        <w:rPr>
          <w:b/>
        </w:rPr>
        <w:t>AEs of special interest and imAEs</w:t>
      </w:r>
    </w:p>
    <w:p w:rsidR="004D449E" w:rsidRDefault="004D449E" w:rsidP="004D449E">
      <w:pPr>
        <w:pStyle w:val="ListParagraph"/>
        <w:numPr>
          <w:ilvl w:val="0"/>
          <w:numId w:val="3"/>
        </w:numPr>
        <w:ind w:left="360"/>
        <w:rPr>
          <w:b/>
        </w:rPr>
      </w:pPr>
      <w:r w:rsidRPr="004D449E">
        <w:rPr>
          <w:b/>
        </w:rPr>
        <w:t>Multimodal biomarkers.</w:t>
      </w:r>
    </w:p>
    <w:p w:rsidR="004D449E" w:rsidRPr="004D449E" w:rsidRDefault="004D449E" w:rsidP="004D449E">
      <w:pPr>
        <w:pStyle w:val="ListParagraph"/>
        <w:numPr>
          <w:ilvl w:val="0"/>
          <w:numId w:val="3"/>
        </w:numPr>
        <w:ind w:left="360"/>
        <w:rPr>
          <w:b/>
        </w:rPr>
      </w:pPr>
      <w:r w:rsidRPr="004D449E">
        <w:rPr>
          <w:b/>
        </w:rPr>
        <w:t>International Metastatic RCC Database</w:t>
      </w:r>
      <w:r>
        <w:rPr>
          <w:b/>
        </w:rPr>
        <w:t xml:space="preserve"> </w:t>
      </w:r>
      <w:r w:rsidRPr="004D449E">
        <w:rPr>
          <w:b/>
        </w:rPr>
        <w:t>Consortium (IMDC) risk score</w:t>
      </w:r>
    </w:p>
    <w:p w:rsidR="006D2F80" w:rsidRDefault="006D2F80"/>
    <w:p w:rsidR="005D2CC7" w:rsidRDefault="005D2CC7"/>
    <w:p w:rsidR="005179B2" w:rsidRDefault="005179B2">
      <w:r>
        <w:t>Meta-analysis to determine:</w:t>
      </w:r>
    </w:p>
    <w:p w:rsidR="005179B2" w:rsidRDefault="005179B2" w:rsidP="005179B2">
      <w:pPr>
        <w:pStyle w:val="ListParagraph"/>
        <w:numPr>
          <w:ilvl w:val="0"/>
          <w:numId w:val="5"/>
        </w:numPr>
        <w:ind w:left="360"/>
      </w:pPr>
      <w:r>
        <w:t>Discriminatory potential for each biomarker across multiple cancer types</w:t>
      </w:r>
    </w:p>
    <w:p w:rsidR="005179B2" w:rsidRDefault="005179B2" w:rsidP="005179B2">
      <w:pPr>
        <w:pStyle w:val="ListParagraph"/>
        <w:numPr>
          <w:ilvl w:val="0"/>
          <w:numId w:val="5"/>
        </w:numPr>
        <w:ind w:left="360"/>
      </w:pPr>
      <w:r>
        <w:t>Discriminatory potential for each biomarker for each cancer type</w:t>
      </w:r>
    </w:p>
    <w:p w:rsidR="005D2CC7" w:rsidRDefault="005179B2" w:rsidP="005179B2">
      <w:r w:rsidRPr="005179B2">
        <w:rPr>
          <w:b/>
        </w:rPr>
        <w:t>Report AUC</w:t>
      </w:r>
      <w:r>
        <w:t xml:space="preserve">: </w:t>
      </w:r>
      <w:r w:rsidRPr="005179B2">
        <w:t>Binary test outcomes, such as sensitiv</w:t>
      </w:r>
      <w:r w:rsidRPr="005179B2">
        <w:softHyphen/>
        <w:t>ity and specificity, rely on a threshold for determining the optimal test per</w:t>
      </w:r>
      <w:r w:rsidRPr="005179B2">
        <w:softHyphen/>
        <w:t>formance. This threshold often creates a tradeoff between certain values, and simply averaging values across studies with different thresholds can confound results.</w:t>
      </w:r>
      <w:r>
        <w:t xml:space="preserve"> To address this, we implemented the summary-receiving operating characteristic curve (</w:t>
      </w:r>
      <w:r w:rsidRPr="008C3E37">
        <w:rPr>
          <w:b/>
        </w:rPr>
        <w:t>ROC curve</w:t>
      </w:r>
      <w:r w:rsidR="008C3E37">
        <w:t xml:space="preserve"> </w:t>
      </w:r>
      <w:r w:rsidR="008C3E37" w:rsidRPr="008C3E37">
        <w:rPr>
          <w:b/>
        </w:rPr>
        <w:t>same as AUC</w:t>
      </w:r>
      <w:r>
        <w:t>) approach.</w:t>
      </w:r>
      <w:r w:rsidR="007C0385">
        <w:t xml:space="preserve"> AUC was calculated </w:t>
      </w:r>
      <w:r w:rsidR="00621EC1">
        <w:t>from bivariate models. Confidence intervals were estimated using bootstrapping.</w:t>
      </w:r>
    </w:p>
    <w:p w:rsidR="005D2CC7" w:rsidRDefault="000D2AD4">
      <w:r>
        <w:t>Model: Linear mixed effects model.</w:t>
      </w:r>
    </w:p>
    <w:p w:rsidR="000D2AD4" w:rsidRPr="000D2AD4" w:rsidRDefault="000D2AD4">
      <w:pPr>
        <w:rPr>
          <w:b/>
        </w:rPr>
      </w:pPr>
      <w:r w:rsidRPr="000D2AD4">
        <w:rPr>
          <w:b/>
        </w:rPr>
        <w:t>A minimum of 3 studies, or 500 patients were required to perform each meta-analysis.</w:t>
      </w:r>
    </w:p>
    <w:p w:rsidR="000D2AD4" w:rsidRDefault="000D2AD4">
      <w:r w:rsidRPr="000D2AD4">
        <w:rPr>
          <w:b/>
        </w:rPr>
        <w:t>If one study report multiple thresholds for the same biomarker</w:t>
      </w:r>
      <w:r>
        <w:t>: only the threshold with the greatest accuracy were reported.</w:t>
      </w:r>
    </w:p>
    <w:p w:rsidR="005D2CC7" w:rsidRDefault="005D2CC7"/>
    <w:p w:rsidR="00B4252B" w:rsidRDefault="00B4252B"/>
    <w:p w:rsidR="00B4252B" w:rsidRDefault="00B4252B"/>
    <w:p w:rsidR="00B4252B" w:rsidRDefault="00B4252B"/>
    <w:p w:rsidR="00B4252B" w:rsidRDefault="00B4252B"/>
    <w:p w:rsidR="00B4252B" w:rsidRDefault="00B4252B" w:rsidP="00B4252B">
      <w:pPr>
        <w:pStyle w:val="Heading1"/>
      </w:pPr>
      <w:r>
        <w:t>Discussion</w:t>
      </w:r>
    </w:p>
    <w:p w:rsidR="00B4252B" w:rsidRDefault="00B4252B">
      <w:r>
        <w:t>Challenge:</w:t>
      </w:r>
    </w:p>
    <w:p w:rsidR="00B4252B" w:rsidRDefault="00B4252B" w:rsidP="00B4252B">
      <w:pPr>
        <w:pStyle w:val="ListParagraph"/>
        <w:numPr>
          <w:ilvl w:val="0"/>
          <w:numId w:val="6"/>
        </w:numPr>
      </w:pPr>
      <w:r w:rsidRPr="00B4252B">
        <w:t>Only 24% (95% CI, 21%-28%) of patients respond to these treatments</w:t>
      </w:r>
      <w:r>
        <w:t>.</w:t>
      </w:r>
    </w:p>
    <w:p w:rsidR="00B4252B" w:rsidRDefault="00B4252B" w:rsidP="00B4252B">
      <w:pPr>
        <w:pStyle w:val="ListParagraph"/>
        <w:numPr>
          <w:ilvl w:val="0"/>
          <w:numId w:val="6"/>
        </w:numPr>
      </w:pPr>
      <w:r>
        <w:t>N</w:t>
      </w:r>
      <w:r w:rsidRPr="00B4252B">
        <w:t>o consensus exists regarding which of these biomarkers is capable of or has the potential to be clinically useful.</w:t>
      </w:r>
    </w:p>
    <w:p w:rsidR="00B4252B" w:rsidRDefault="00B4252B" w:rsidP="00B4252B">
      <w:r>
        <w:t>Achievement of this meta-analysis:</w:t>
      </w:r>
    </w:p>
    <w:p w:rsidR="00B4252B" w:rsidRDefault="00B4252B" w:rsidP="00B4252B">
      <w:pPr>
        <w:pStyle w:val="ListParagraph"/>
        <w:numPr>
          <w:ilvl w:val="0"/>
          <w:numId w:val="7"/>
        </w:numPr>
      </w:pPr>
      <w:r>
        <w:t>More studies, more patients</w:t>
      </w:r>
    </w:p>
    <w:p w:rsidR="00B4252B" w:rsidRDefault="00B4252B" w:rsidP="00B4252B">
      <w:pPr>
        <w:pStyle w:val="ListParagraph"/>
        <w:numPr>
          <w:ilvl w:val="0"/>
          <w:numId w:val="7"/>
        </w:numPr>
      </w:pPr>
      <w:r>
        <w:t>More biomarkers including novel biomarkers</w:t>
      </w:r>
    </w:p>
    <w:p w:rsidR="00B4252B" w:rsidRDefault="00B4252B" w:rsidP="00B4252B">
      <w:pPr>
        <w:pStyle w:val="ListParagraph"/>
        <w:numPr>
          <w:ilvl w:val="0"/>
          <w:numId w:val="7"/>
        </w:numPr>
      </w:pPr>
      <w:r>
        <w:t>Bivariate linear mixed models: provide more accurate estimates</w:t>
      </w:r>
    </w:p>
    <w:p w:rsidR="00B4252B" w:rsidRDefault="00B4252B" w:rsidP="00B4252B">
      <w:r>
        <w:t>Findings that were consistent with other studies:</w:t>
      </w:r>
    </w:p>
    <w:p w:rsidR="00B4252B" w:rsidRDefault="00B4252B" w:rsidP="00B4252B">
      <w:pPr>
        <w:pStyle w:val="ListParagraph"/>
        <w:numPr>
          <w:ilvl w:val="0"/>
          <w:numId w:val="8"/>
        </w:numPr>
      </w:pPr>
      <w:r>
        <w:t xml:space="preserve">PD-L1 HIC, TMB, and </w:t>
      </w:r>
      <w:bookmarkStart w:id="3" w:name="OLE_LINK4"/>
      <w:bookmarkStart w:id="4" w:name="OLE_LINK5"/>
      <w:r>
        <w:t xml:space="preserve">MIHC/IF </w:t>
      </w:r>
      <w:bookmarkEnd w:id="3"/>
      <w:bookmarkEnd w:id="4"/>
      <w:r>
        <w:t>had better discriminatory ability than randomly guess (AUC&gt;0.5).</w:t>
      </w:r>
    </w:p>
    <w:p w:rsidR="00B4252B" w:rsidRDefault="00B4252B" w:rsidP="00B4252B">
      <w:pPr>
        <w:pStyle w:val="ListParagraph"/>
        <w:numPr>
          <w:ilvl w:val="0"/>
          <w:numId w:val="8"/>
        </w:numPr>
      </w:pPr>
      <w:r>
        <w:t>TMB had better discriminatory ability than PD-L1 expression.</w:t>
      </w:r>
    </w:p>
    <w:p w:rsidR="00B4252B" w:rsidRDefault="00B4252B" w:rsidP="00B4252B">
      <w:pPr>
        <w:pStyle w:val="ListParagraph"/>
        <w:numPr>
          <w:ilvl w:val="0"/>
          <w:numId w:val="8"/>
        </w:numPr>
      </w:pPr>
      <w:r>
        <w:t>MIHC/IF</w:t>
      </w:r>
      <w:r>
        <w:t xml:space="preserve"> is a new biomarker which has been investigated only in 2 cancer types (melanoma and Merkel cell carcinoma).</w:t>
      </w:r>
    </w:p>
    <w:p w:rsidR="006E3EFA" w:rsidRDefault="006E3EFA" w:rsidP="006E3EFA">
      <w:pPr>
        <w:pStyle w:val="ListParagraph"/>
        <w:numPr>
          <w:ilvl w:val="0"/>
          <w:numId w:val="8"/>
        </w:numPr>
      </w:pPr>
      <w:r>
        <w:t xml:space="preserve">Multimodal biomarkers has consistent discriminatory ability across studies of melanoma, but a large variation among studies of </w:t>
      </w:r>
      <w:r w:rsidRPr="006E3EFA">
        <w:t xml:space="preserve">non–small cell lung cancer </w:t>
      </w:r>
      <w:r>
        <w:t>(NSCLC)</w:t>
      </w:r>
      <w:bookmarkStart w:id="5" w:name="_GoBack"/>
      <w:bookmarkEnd w:id="5"/>
      <w:r>
        <w:t xml:space="preserve">. </w:t>
      </w:r>
    </w:p>
    <w:p w:rsidR="00B4252B" w:rsidRDefault="00B4252B" w:rsidP="00B4252B">
      <w:r>
        <w:t>Future plan:</w:t>
      </w:r>
    </w:p>
    <w:p w:rsidR="00B4252B" w:rsidRDefault="00B4252B" w:rsidP="006E3EFA">
      <w:pPr>
        <w:pStyle w:val="ListParagraph"/>
        <w:numPr>
          <w:ilvl w:val="0"/>
          <w:numId w:val="9"/>
        </w:numPr>
      </w:pPr>
      <w:r>
        <w:t>An important metric</w:t>
      </w:r>
      <w:r w:rsidR="006E3EFA">
        <w:t xml:space="preserve">, positive predictive value (PPV) was not reported. </w:t>
      </w:r>
      <w:r w:rsidR="006E3EFA" w:rsidRPr="006E3EFA">
        <w:t>PPV is a measure of the probability of the outcome given a positive biomarker result</w:t>
      </w:r>
      <w:r w:rsidR="006E3EFA">
        <w:t xml:space="preserve">. </w:t>
      </w:r>
      <w:r w:rsidR="006E3EFA" w:rsidRPr="006E3EFA">
        <w:t>However, PPV is influenced by the prevalence of responders and is therefore highly dependent on tumor type and many other factors.</w:t>
      </w:r>
    </w:p>
    <w:p w:rsidR="006E3EFA" w:rsidRDefault="006E3EFA" w:rsidP="006E3EFA">
      <w:pPr>
        <w:pStyle w:val="ListParagraph"/>
        <w:numPr>
          <w:ilvl w:val="0"/>
          <w:numId w:val="9"/>
        </w:numPr>
      </w:pPr>
      <w:r>
        <w:t>Those findings should be validated in an independent cohort for prediction in the future.</w:t>
      </w:r>
    </w:p>
    <w:sectPr w:rsidR="006E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ago Book">
    <w:altName w:val="Imago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24C33"/>
    <w:multiLevelType w:val="hybridMultilevel"/>
    <w:tmpl w:val="260A9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49B"/>
    <w:multiLevelType w:val="hybridMultilevel"/>
    <w:tmpl w:val="79423A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D45622"/>
    <w:multiLevelType w:val="hybridMultilevel"/>
    <w:tmpl w:val="15F60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4286D"/>
    <w:multiLevelType w:val="hybridMultilevel"/>
    <w:tmpl w:val="15EC4B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328AE"/>
    <w:multiLevelType w:val="hybridMultilevel"/>
    <w:tmpl w:val="BBE847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E6793"/>
    <w:multiLevelType w:val="hybridMultilevel"/>
    <w:tmpl w:val="9CACD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45325"/>
    <w:multiLevelType w:val="hybridMultilevel"/>
    <w:tmpl w:val="EBC0A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965B9"/>
    <w:multiLevelType w:val="hybridMultilevel"/>
    <w:tmpl w:val="460EF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62C55"/>
    <w:multiLevelType w:val="hybridMultilevel"/>
    <w:tmpl w:val="2D22C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4B"/>
    <w:rsid w:val="000675D2"/>
    <w:rsid w:val="000D2AD4"/>
    <w:rsid w:val="001F1907"/>
    <w:rsid w:val="00250CEA"/>
    <w:rsid w:val="002F3B1D"/>
    <w:rsid w:val="004D449E"/>
    <w:rsid w:val="004E5509"/>
    <w:rsid w:val="005179B2"/>
    <w:rsid w:val="005D2CC7"/>
    <w:rsid w:val="005E28CF"/>
    <w:rsid w:val="00621EC1"/>
    <w:rsid w:val="006D2F80"/>
    <w:rsid w:val="006E3EFA"/>
    <w:rsid w:val="007C0385"/>
    <w:rsid w:val="00891B90"/>
    <w:rsid w:val="008C3E37"/>
    <w:rsid w:val="00B1714B"/>
    <w:rsid w:val="00B4252B"/>
    <w:rsid w:val="00ED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5A4DA-0CDD-4EEA-AEA7-2080A0CB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2CC7"/>
    <w:pPr>
      <w:autoSpaceDE w:val="0"/>
      <w:autoSpaceDN w:val="0"/>
      <w:adjustRightInd w:val="0"/>
      <w:spacing w:after="0" w:line="240" w:lineRule="auto"/>
    </w:pPr>
    <w:rPr>
      <w:rFonts w:ascii="Imago Book" w:hAnsi="Imago Book" w:cs="Imago Boo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2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8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2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cist.eort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Cincinnati Children's Hospital</Company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Yin</dc:creator>
  <cp:keywords/>
  <dc:description/>
  <cp:lastModifiedBy>Zhang, Yin</cp:lastModifiedBy>
  <cp:revision>10</cp:revision>
  <dcterms:created xsi:type="dcterms:W3CDTF">2023-05-24T18:27:00Z</dcterms:created>
  <dcterms:modified xsi:type="dcterms:W3CDTF">2023-05-25T17:16:00Z</dcterms:modified>
</cp:coreProperties>
</file>