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20863105568c7850b27f5d394168d4a0fadb3ac"/>
    <w:p>
      <w:pPr>
        <w:pStyle w:val="Heading1"/>
      </w:pPr>
      <w:r>
        <w:t xml:space="preserve">Top 10 Open-Source AI Models Released in October 2025: Complete Analysis and Strategic Insights</w:t>
      </w:r>
    </w:p>
    <w:bookmarkStart w:id="20" w:name="executive-summary"/>
    <w:p>
      <w:pPr>
        <w:pStyle w:val="Heading2"/>
      </w:pPr>
      <w:r>
        <w:t xml:space="preserve">Executive Summary</w:t>
      </w:r>
    </w:p>
    <w:p>
      <w:pPr>
        <w:pStyle w:val="FirstParagraph"/>
      </w:pPr>
      <w:r>
        <w:t xml:space="preserve">October 2025 marked a pivotal month for open-source AI, with a wave of releases that signal a clear industry shift from pure parameter scaling to efficiency, specialization, and deployment readiness. This report provides a comprehensive analysis of the top 10 most significant open-source models released in October 2025, evaluated through a weighted methodology focusing on benchmark performance, architectural innovation, license permissiveness, and deployment readiness.</w:t>
      </w:r>
    </w:p>
    <w:p>
      <w:pPr>
        <w:pStyle w:val="BodyText"/>
      </w:pPr>
      <w:r>
        <w:rPr>
          <w:bCs/>
          <w:b/>
        </w:rPr>
        <w:t xml:space="preserve">MiniMax M2</w:t>
      </w:r>
      <w:r>
        <w:t xml:space="preserve"> </w:t>
      </w:r>
      <w:r>
        <w:t xml:space="preserve">emerged as the top-ranked model, a 230B parameter Mixture-of-Experts (MoE) model with a permissive MIT license, delivering state-of-the-art performance in agent-native coding tasks. Closely following is</w:t>
      </w:r>
      <w:r>
        <w:t xml:space="preserve"> </w:t>
      </w:r>
      <w:r>
        <w:rPr>
          <w:bCs/>
          <w:b/>
        </w:rPr>
        <w:t xml:space="preserve">IBM’s Granite 4.0-H-Small</w:t>
      </w:r>
      <w:r>
        <w:t xml:space="preserve">, a hybrid Mamba/Transformer model that offers over 70% RAM reduction, making long-context applications more economically viable.</w:t>
      </w:r>
    </w:p>
    <w:p>
      <w:pPr>
        <w:pStyle w:val="BodyText"/>
      </w:pPr>
      <w:r>
        <w:t xml:space="preserve">Key trends from our analysis include:</w:t>
      </w:r>
      <w:r>
        <w:t xml:space="preserve"> </w:t>
      </w:r>
      <w:r>
        <w:t xml:space="preserve">*</w:t>
      </w:r>
      <w:r>
        <w:t xml:space="preserve"> </w:t>
      </w:r>
      <w:r>
        <w:rPr>
          <w:bCs/>
          <w:b/>
        </w:rPr>
        <w:t xml:space="preserve">Architectural Innovation</w:t>
      </w:r>
      <w:r>
        <w:t xml:space="preserve">: A move away from dense Transformers towards more efficient hybrid designs, sparse MoE, and specialized architectures.</w:t>
      </w:r>
      <w:r>
        <w:t xml:space="preserve"> </w:t>
      </w:r>
      <w:r>
        <w:t xml:space="preserve">*</w:t>
      </w:r>
      <w:r>
        <w:t xml:space="preserve"> </w:t>
      </w:r>
      <w:r>
        <w:rPr>
          <w:bCs/>
          <w:b/>
        </w:rPr>
        <w:t xml:space="preserve">Multimodal Maturation</w:t>
      </w:r>
      <w:r>
        <w:t xml:space="preserve">: Production-ready systems for real-time video processing, comprehensive document intelligence, and edge-capable vision-language understanding.</w:t>
      </w:r>
      <w:r>
        <w:t xml:space="preserve"> </w:t>
      </w:r>
      <w:r>
        <w:t xml:space="preserve">*</w:t>
      </w:r>
      <w:r>
        <w:t xml:space="preserve"> </w:t>
      </w:r>
      <w:r>
        <w:rPr>
          <w:bCs/>
          <w:b/>
        </w:rPr>
        <w:t xml:space="preserve">Permissive Licensing</w:t>
      </w:r>
      <w:r>
        <w:t xml:space="preserve">: A strong trend towards Apache 2.0 and MIT licenses, fostering broader commercial adoption.</w:t>
      </w:r>
      <w:r>
        <w:t xml:space="preserve"> </w:t>
      </w:r>
      <w:r>
        <w:t xml:space="preserve">*</w:t>
      </w:r>
      <w:r>
        <w:t xml:space="preserve"> </w:t>
      </w:r>
      <w:r>
        <w:rPr>
          <w:bCs/>
          <w:b/>
        </w:rPr>
        <w:t xml:space="preserve">Edge Computing Focus</w:t>
      </w:r>
      <w:r>
        <w:t xml:space="preserve">: A significant number of models are now optimized for edge and mobile deployments.</w:t>
      </w:r>
    </w:p>
    <w:p>
      <w:pPr>
        <w:pStyle w:val="BodyText"/>
      </w:pPr>
      <w:r>
        <w:t xml:space="preserve">This report offers strategic guidance for enterprise adopters, researchers, and developers on how to leverage these new models. We provide a detailed breakdown of each of the top 10 models, a comparative analysis of their strengths and weaknesses, and actionable recommendations for various use cases.</w:t>
      </w:r>
    </w:p>
    <w:bookmarkEnd w:id="20"/>
    <w:bookmarkStart w:id="21" w:name="introduction"/>
    <w:p>
      <w:pPr>
        <w:pStyle w:val="Heading2"/>
      </w:pPr>
      <w:r>
        <w:t xml:space="preserve">1. Introduction</w:t>
      </w:r>
    </w:p>
    <w:p>
      <w:pPr>
        <w:pStyle w:val="FirstParagraph"/>
      </w:pPr>
      <w:r>
        <w:t xml:space="preserve">The AI landscape is in a constant state of flux, with new models and architectures emerging at a rapid pace. October 2025 was a particularly noteworthy month, witnessing the release of several open-source models that not only push the boundaries of performance but also address the practical challenges of deployment and operational efficiency. This report aims to provide a clear, data-driven analysis of the most significant of these releases, offering a comprehensive resource for decision-makers, researchers, and AI practitioners.</w:t>
      </w:r>
    </w:p>
    <w:p>
      <w:pPr>
        <w:pStyle w:val="BodyText"/>
      </w:pPr>
      <w:r>
        <w:t xml:space="preserve">Our analysis goes beyond simple benchmark comparisons to provide a holistic view of each model’s significance. We assess not just what a model</w:t>
      </w:r>
      <w:r>
        <w:t xml:space="preserve"> </w:t>
      </w:r>
      <w:r>
        <w:rPr>
          <w:iCs/>
          <w:i/>
        </w:rPr>
        <w:t xml:space="preserve">can</w:t>
      </w:r>
      <w:r>
        <w:t xml:space="preserve"> </w:t>
      </w:r>
      <w:r>
        <w:t xml:space="preserve">do, but also how easily it can be adopted, adapted, and deployed in real-world scenarios. This includes a thorough examination of licensing, architectural innovation, and the availability of supporting tools and documentation.</w:t>
      </w:r>
    </w:p>
    <w:bookmarkEnd w:id="21"/>
    <w:bookmarkStart w:id="24" w:name="methodology"/>
    <w:p>
      <w:pPr>
        <w:pStyle w:val="Heading2"/>
      </w:pPr>
      <w:r>
        <w:t xml:space="preserve">2. Methodology</w:t>
      </w:r>
    </w:p>
    <w:bookmarkStart w:id="22" w:name="ranking-criteria-and-weights"/>
    <w:p>
      <w:pPr>
        <w:pStyle w:val="Heading3"/>
      </w:pPr>
      <w:r>
        <w:t xml:space="preserve">2.1. Ranking Criteria and Weights</w:t>
      </w:r>
    </w:p>
    <w:p>
      <w:pPr>
        <w:pStyle w:val="FirstParagraph"/>
      </w:pPr>
      <w:r>
        <w:t xml:space="preserve">To provide a comprehensive and objective ranking, we developed a weighted scoring methodology that considers five key factors:</w:t>
      </w:r>
    </w:p>
    <w:p>
      <w:pPr>
        <w:numPr>
          <w:ilvl w:val="0"/>
          <w:numId w:val="1001"/>
        </w:numPr>
        <w:pStyle w:val="Compact"/>
      </w:pPr>
      <w:r>
        <w:rPr>
          <w:bCs/>
          <w:b/>
        </w:rPr>
        <w:t xml:space="preserve">Benchmark Performance (35%)</w:t>
      </w:r>
      <w:r>
        <w:t xml:space="preserve">: Performance on standardized benchmarks such as HumanEval, MMLU, and domain-specific evaluations.</w:t>
      </w:r>
    </w:p>
    <w:p>
      <w:pPr>
        <w:numPr>
          <w:ilvl w:val="0"/>
          <w:numId w:val="1001"/>
        </w:numPr>
        <w:pStyle w:val="Compact"/>
      </w:pPr>
      <w:r>
        <w:rPr>
          <w:bCs/>
          <w:b/>
        </w:rPr>
        <w:t xml:space="preserve">License Openness (15%)</w:t>
      </w:r>
      <w:r>
        <w:t xml:space="preserve">: The permissiveness of the model’s license for commercial use and modification.</w:t>
      </w:r>
    </w:p>
    <w:p>
      <w:pPr>
        <w:numPr>
          <w:ilvl w:val="0"/>
          <w:numId w:val="1001"/>
        </w:numPr>
        <w:pStyle w:val="Compact"/>
      </w:pPr>
      <w:r>
        <w:rPr>
          <w:bCs/>
          <w:b/>
        </w:rPr>
        <w:t xml:space="preserve">Architectural Innovation (20%)</w:t>
      </w:r>
      <w:r>
        <w:t xml:space="preserve">: Novel architectural approaches that advance the state of the art in terms of efficiency or capability.</w:t>
      </w:r>
    </w:p>
    <w:p>
      <w:pPr>
        <w:numPr>
          <w:ilvl w:val="0"/>
          <w:numId w:val="1001"/>
        </w:numPr>
        <w:pStyle w:val="Compact"/>
      </w:pPr>
      <w:r>
        <w:rPr>
          <w:bCs/>
          <w:b/>
        </w:rPr>
        <w:t xml:space="preserve">Deployment Readiness (20%)</w:t>
      </w:r>
      <w:r>
        <w:t xml:space="preserve">: The practical aspects of deploying the model, including inference framework support, hardware compatibility, and context window size.</w:t>
      </w:r>
    </w:p>
    <w:p>
      <w:pPr>
        <w:numPr>
          <w:ilvl w:val="0"/>
          <w:numId w:val="1001"/>
        </w:numPr>
        <w:pStyle w:val="Compact"/>
      </w:pPr>
      <w:r>
        <w:rPr>
          <w:bCs/>
          <w:b/>
        </w:rPr>
        <w:t xml:space="preserve">Community Impact (10%)</w:t>
      </w:r>
      <w:r>
        <w:t xml:space="preserve">: Adoption signals, ecosystem integration, and the quality of documentation and community engagement.</w:t>
      </w:r>
    </w:p>
    <w:bookmarkEnd w:id="22"/>
    <w:bookmarkStart w:id="23" w:name="selection-criteria"/>
    <w:p>
      <w:pPr>
        <w:pStyle w:val="Heading3"/>
      </w:pPr>
      <w:r>
        <w:t xml:space="preserve">2.2. Selection Criteria</w:t>
      </w:r>
    </w:p>
    <w:p>
      <w:pPr>
        <w:pStyle w:val="FirstParagraph"/>
      </w:pPr>
      <w:r>
        <w:t xml:space="preserve">Models were selected for inclusion in this report based on the following criteria:</w:t>
      </w:r>
    </w:p>
    <w:p>
      <w:pPr>
        <w:numPr>
          <w:ilvl w:val="0"/>
          <w:numId w:val="1002"/>
        </w:numPr>
        <w:pStyle w:val="Compact"/>
      </w:pPr>
      <w:r>
        <w:t xml:space="preserve">Official open-source or open-weight release in October 2025.</w:t>
      </w:r>
    </w:p>
    <w:p>
      <w:pPr>
        <w:numPr>
          <w:ilvl w:val="0"/>
          <w:numId w:val="1002"/>
        </w:numPr>
        <w:pStyle w:val="Compact"/>
      </w:pPr>
      <w:r>
        <w:t xml:space="preserve">Significant benchmark achievements or architectural innovations.</w:t>
      </w:r>
    </w:p>
    <w:p>
      <w:pPr>
        <w:numPr>
          <w:ilvl w:val="0"/>
          <w:numId w:val="1002"/>
        </w:numPr>
        <w:pStyle w:val="Compact"/>
      </w:pPr>
      <w:r>
        <w:t xml:space="preserve">Availability of technical specifications and performance data.</w:t>
      </w:r>
    </w:p>
    <w:p>
      <w:pPr>
        <w:numPr>
          <w:ilvl w:val="0"/>
          <w:numId w:val="1002"/>
        </w:numPr>
        <w:pStyle w:val="Compact"/>
      </w:pPr>
      <w:r>
        <w:t xml:space="preserve">Relevance to practical AI deployment scenarios.</w:t>
      </w:r>
    </w:p>
    <w:bookmarkEnd w:id="23"/>
    <w:bookmarkEnd w:id="24"/>
    <w:bookmarkStart w:id="35" w:name="top-10-models-analysis"/>
    <w:p>
      <w:pPr>
        <w:pStyle w:val="Heading2"/>
      </w:pPr>
      <w:r>
        <w:t xml:space="preserve">3. Top 10 Models Analysis</w:t>
      </w:r>
    </w:p>
    <w:p>
      <w:pPr>
        <w:pStyle w:val="FirstParagraph"/>
      </w:pPr>
      <w:r>
        <w:t xml:space="preserve">This section provides a detailed analysis of each of the top 10 open-source AI models released in October 2025, based on our ranking methodology.</w:t>
      </w:r>
    </w:p>
    <w:bookmarkStart w:id="25" w:name="rank-1-minimax-m2"/>
    <w:p>
      <w:pPr>
        <w:pStyle w:val="Heading3"/>
      </w:pPr>
      <w:r>
        <w:t xml:space="preserve">Rank 1: MiniMax M2</w:t>
      </w:r>
    </w:p>
    <w:p>
      <w:pPr>
        <w:numPr>
          <w:ilvl w:val="0"/>
          <w:numId w:val="1003"/>
        </w:numPr>
        <w:pStyle w:val="Compact"/>
      </w:pPr>
      <w:r>
        <w:rPr>
          <w:bCs/>
          <w:b/>
        </w:rPr>
        <w:t xml:space="preserve">Overall Score</w:t>
      </w:r>
      <w:r>
        <w:t xml:space="preserve">: 4.65/5</w:t>
      </w:r>
    </w:p>
    <w:p>
      <w:pPr>
        <w:numPr>
          <w:ilvl w:val="0"/>
          <w:numId w:val="1003"/>
        </w:numPr>
        <w:pStyle w:val="Compact"/>
      </w:pPr>
      <w:r>
        <w:rPr>
          <w:bCs/>
          <w:b/>
        </w:rPr>
        <w:t xml:space="preserve">Organization</w:t>
      </w:r>
      <w:r>
        <w:t xml:space="preserve">: MiniMax</w:t>
      </w:r>
    </w:p>
    <w:p>
      <w:pPr>
        <w:numPr>
          <w:ilvl w:val="0"/>
          <w:numId w:val="1003"/>
        </w:numPr>
        <w:pStyle w:val="Compact"/>
      </w:pPr>
      <w:r>
        <w:rPr>
          <w:bCs/>
          <w:b/>
        </w:rPr>
        <w:t xml:space="preserve">Release Date</w:t>
      </w:r>
      <w:r>
        <w:t xml:space="preserve">: October 27, 2025</w:t>
      </w:r>
    </w:p>
    <w:p>
      <w:pPr>
        <w:numPr>
          <w:ilvl w:val="0"/>
          <w:numId w:val="1003"/>
        </w:numPr>
        <w:pStyle w:val="Compact"/>
      </w:pPr>
      <w:r>
        <w:rPr>
          <w:bCs/>
          <w:b/>
        </w:rPr>
        <w:t xml:space="preserve">Parameters</w:t>
      </w:r>
      <w:r>
        <w:t xml:space="preserve">: ~230B total / ~10B active (MoE)</w:t>
      </w:r>
    </w:p>
    <w:p>
      <w:pPr>
        <w:numPr>
          <w:ilvl w:val="0"/>
          <w:numId w:val="1003"/>
        </w:numPr>
        <w:pStyle w:val="Compact"/>
      </w:pPr>
      <w:r>
        <w:rPr>
          <w:bCs/>
          <w:b/>
        </w:rPr>
        <w:t xml:space="preserve">License</w:t>
      </w:r>
      <w:r>
        <w:t xml:space="preserve">: MIT</w:t>
      </w:r>
    </w:p>
    <w:p>
      <w:pPr>
        <w:numPr>
          <w:ilvl w:val="0"/>
          <w:numId w:val="1003"/>
        </w:numPr>
        <w:pStyle w:val="Compact"/>
      </w:pPr>
      <w:r>
        <w:rPr>
          <w:bCs/>
          <w:b/>
        </w:rPr>
        <w:t xml:space="preserve">Architecture</w:t>
      </w:r>
      <w:r>
        <w:t xml:space="preserve">: Agent-native coding MoE</w:t>
      </w:r>
    </w:p>
    <w:p>
      <w:pPr>
        <w:pStyle w:val="FirstParagraph"/>
      </w:pPr>
      <w:r>
        <w:rPr>
          <w:bCs/>
          <w:b/>
        </w:rPr>
        <w:t xml:space="preserve">Significance</w:t>
      </w:r>
      <w:r>
        <w:t xml:space="preserve">: MiniMax M2 is the first open-source model explicitly engineered for end-to-end agent workflows. Its state-of-the-art performance on coding benchmarks, combined with a permissive MIT license, makes it the top choice for enterprise coding agents and autonomous development systems.</w:t>
      </w:r>
    </w:p>
    <w:p>
      <w:pPr>
        <w:pStyle w:val="BodyText"/>
      </w:pPr>
      <w:r>
        <w:rPr>
          <w:bCs/>
          <w:b/>
        </w:rPr>
        <w:t xml:space="preserve">Use Cases</w:t>
      </w:r>
      <w:r>
        <w:t xml:space="preserve">: Enterprise developer agents, automated code review, repository-scale refactoring, autonomous debugging.</w:t>
      </w:r>
    </w:p>
    <w:bookmarkEnd w:id="25"/>
    <w:bookmarkStart w:id="26" w:name="rank-2-ibm-granite-4.0-h-small"/>
    <w:p>
      <w:pPr>
        <w:pStyle w:val="Heading3"/>
      </w:pPr>
      <w:r>
        <w:t xml:space="preserve">Rank 2: IBM Granite 4.0-H-Small</w:t>
      </w:r>
    </w:p>
    <w:p>
      <w:pPr>
        <w:numPr>
          <w:ilvl w:val="0"/>
          <w:numId w:val="1004"/>
        </w:numPr>
        <w:pStyle w:val="Compact"/>
      </w:pPr>
      <w:r>
        <w:rPr>
          <w:bCs/>
          <w:b/>
        </w:rPr>
        <w:t xml:space="preserve">Overall Score</w:t>
      </w:r>
      <w:r>
        <w:t xml:space="preserve">: 4.55/5</w:t>
      </w:r>
    </w:p>
    <w:p>
      <w:pPr>
        <w:numPr>
          <w:ilvl w:val="0"/>
          <w:numId w:val="1004"/>
        </w:numPr>
        <w:pStyle w:val="Compact"/>
      </w:pPr>
      <w:r>
        <w:rPr>
          <w:bCs/>
          <w:b/>
        </w:rPr>
        <w:t xml:space="preserve">Organization</w:t>
      </w:r>
      <w:r>
        <w:t xml:space="preserve">: IBM</w:t>
      </w:r>
    </w:p>
    <w:p>
      <w:pPr>
        <w:numPr>
          <w:ilvl w:val="0"/>
          <w:numId w:val="1004"/>
        </w:numPr>
        <w:pStyle w:val="Compact"/>
      </w:pPr>
      <w:r>
        <w:rPr>
          <w:bCs/>
          <w:b/>
        </w:rPr>
        <w:t xml:space="preserve">Release Date</w:t>
      </w:r>
      <w:r>
        <w:t xml:space="preserve">: October 2, 2025</w:t>
      </w:r>
    </w:p>
    <w:p>
      <w:pPr>
        <w:numPr>
          <w:ilvl w:val="0"/>
          <w:numId w:val="1004"/>
        </w:numPr>
        <w:pStyle w:val="Compact"/>
      </w:pPr>
      <w:r>
        <w:rPr>
          <w:bCs/>
          <w:b/>
        </w:rPr>
        <w:t xml:space="preserve">Parameters</w:t>
      </w:r>
      <w:r>
        <w:t xml:space="preserve">: ~32B total / ~9B active (Hybrid MoE)</w:t>
      </w:r>
    </w:p>
    <w:p>
      <w:pPr>
        <w:numPr>
          <w:ilvl w:val="0"/>
          <w:numId w:val="1004"/>
        </w:numPr>
        <w:pStyle w:val="Compact"/>
      </w:pPr>
      <w:r>
        <w:rPr>
          <w:bCs/>
          <w:b/>
        </w:rPr>
        <w:t xml:space="preserve">License</w:t>
      </w:r>
      <w:r>
        <w:t xml:space="preserve">: Apache 2.0</w:t>
      </w:r>
    </w:p>
    <w:p>
      <w:pPr>
        <w:numPr>
          <w:ilvl w:val="0"/>
          <w:numId w:val="1004"/>
        </w:numPr>
        <w:pStyle w:val="Compact"/>
      </w:pPr>
      <w:r>
        <w:rPr>
          <w:bCs/>
          <w:b/>
        </w:rPr>
        <w:t xml:space="preserve">Architecture</w:t>
      </w:r>
      <w:r>
        <w:t xml:space="preserve">: Hybrid Mamba/Transformer</w:t>
      </w:r>
    </w:p>
    <w:p>
      <w:pPr>
        <w:pStyle w:val="FirstParagraph"/>
      </w:pPr>
      <w:r>
        <w:rPr>
          <w:bCs/>
          <w:b/>
        </w:rPr>
        <w:t xml:space="preserve">Significance</w:t>
      </w:r>
      <w:r>
        <w:t xml:space="preserve">: This model represents a significant architectural breakthrough, combining the efficiency of state-space models with the capabilities of Transformers. Its dramatic memory efficiency makes long-context applications more economically viable.</w:t>
      </w:r>
    </w:p>
    <w:p>
      <w:pPr>
        <w:pStyle w:val="BodyText"/>
      </w:pPr>
      <w:r>
        <w:rPr>
          <w:bCs/>
          <w:b/>
        </w:rPr>
        <w:t xml:space="preserve">Use Cases</w:t>
      </w:r>
      <w:r>
        <w:t xml:space="preserve">: Enterprise RAG systems, long-document analysis, multi-tool agent workflows, on-premise deployments with memory constraints.</w:t>
      </w:r>
    </w:p>
    <w:bookmarkEnd w:id="26"/>
    <w:bookmarkStart w:id="27" w:name="rank-3-ibm-granite-4.0-h-1b-instruct"/>
    <w:p>
      <w:pPr>
        <w:pStyle w:val="Heading3"/>
      </w:pPr>
      <w:r>
        <w:t xml:space="preserve">Rank 3: IBM Granite 4.0-H-1B Instruct</w:t>
      </w:r>
    </w:p>
    <w:p>
      <w:pPr>
        <w:numPr>
          <w:ilvl w:val="0"/>
          <w:numId w:val="1005"/>
        </w:numPr>
        <w:pStyle w:val="Compact"/>
      </w:pPr>
      <w:r>
        <w:rPr>
          <w:bCs/>
          <w:b/>
        </w:rPr>
        <w:t xml:space="preserve">Overall Score</w:t>
      </w:r>
      <w:r>
        <w:t xml:space="preserve">: 3.95/5</w:t>
      </w:r>
    </w:p>
    <w:p>
      <w:pPr>
        <w:numPr>
          <w:ilvl w:val="0"/>
          <w:numId w:val="1005"/>
        </w:numPr>
        <w:pStyle w:val="Compact"/>
      </w:pPr>
      <w:r>
        <w:rPr>
          <w:bCs/>
          <w:b/>
        </w:rPr>
        <w:t xml:space="preserve">Organization</w:t>
      </w:r>
      <w:r>
        <w:t xml:space="preserve">: IBM</w:t>
      </w:r>
    </w:p>
    <w:p>
      <w:pPr>
        <w:numPr>
          <w:ilvl w:val="0"/>
          <w:numId w:val="1005"/>
        </w:numPr>
        <w:pStyle w:val="Compact"/>
      </w:pPr>
      <w:r>
        <w:rPr>
          <w:bCs/>
          <w:b/>
        </w:rPr>
        <w:t xml:space="preserve">Release Date</w:t>
      </w:r>
      <w:r>
        <w:t xml:space="preserve">: October 28, 2025</w:t>
      </w:r>
    </w:p>
    <w:p>
      <w:pPr>
        <w:numPr>
          <w:ilvl w:val="0"/>
          <w:numId w:val="1005"/>
        </w:numPr>
        <w:pStyle w:val="Compact"/>
      </w:pPr>
      <w:r>
        <w:rPr>
          <w:bCs/>
          <w:b/>
        </w:rPr>
        <w:t xml:space="preserve">Parameters</w:t>
      </w:r>
      <w:r>
        <w:t xml:space="preserve">: 1.5B (dense hybrid)</w:t>
      </w:r>
    </w:p>
    <w:p>
      <w:pPr>
        <w:numPr>
          <w:ilvl w:val="0"/>
          <w:numId w:val="1005"/>
        </w:numPr>
        <w:pStyle w:val="Compact"/>
      </w:pPr>
      <w:r>
        <w:rPr>
          <w:bCs/>
          <w:b/>
        </w:rPr>
        <w:t xml:space="preserve">License</w:t>
      </w:r>
      <w:r>
        <w:t xml:space="preserve">: Apache 2.0</w:t>
      </w:r>
    </w:p>
    <w:p>
      <w:pPr>
        <w:numPr>
          <w:ilvl w:val="0"/>
          <w:numId w:val="1005"/>
        </w:numPr>
        <w:pStyle w:val="Compact"/>
      </w:pPr>
      <w:r>
        <w:rPr>
          <w:bCs/>
          <w:b/>
        </w:rPr>
        <w:t xml:space="preserve">Architecture</w:t>
      </w:r>
      <w:r>
        <w:t xml:space="preserve">: Hybrid dense</w:t>
      </w:r>
    </w:p>
    <w:p>
      <w:pPr>
        <w:pStyle w:val="FirstParagraph"/>
      </w:pPr>
      <w:r>
        <w:rPr>
          <w:bCs/>
          <w:b/>
        </w:rPr>
        <w:t xml:space="preserve">Significance</w:t>
      </w:r>
      <w:r>
        <w:t xml:space="preserve">: This model demonstrates that hybrid architectures can deliver competitive performance at a much smaller parameter count, making it the premier choice for edge and mobile deployments requiring strong reasoning capabilities.</w:t>
      </w:r>
    </w:p>
    <w:p>
      <w:pPr>
        <w:pStyle w:val="BodyText"/>
      </w:pPr>
      <w:r>
        <w:rPr>
          <w:bCs/>
          <w:b/>
        </w:rPr>
        <w:t xml:space="preserve">Use Cases</w:t>
      </w:r>
      <w:r>
        <w:t xml:space="preserve">: Edge function calling, mobile RAG applications, local document processing, on-device code assistance.</w:t>
      </w:r>
    </w:p>
    <w:bookmarkEnd w:id="27"/>
    <w:bookmarkStart w:id="28" w:name="rank-4-nvidia-nemotron-nano-v2-12b-vl"/>
    <w:p>
      <w:pPr>
        <w:pStyle w:val="Heading3"/>
      </w:pPr>
      <w:r>
        <w:t xml:space="preserve">Rank 4: NVIDIA Nemotron Nano v2 12B VL</w:t>
      </w:r>
    </w:p>
    <w:p>
      <w:pPr>
        <w:numPr>
          <w:ilvl w:val="0"/>
          <w:numId w:val="1006"/>
        </w:numPr>
        <w:pStyle w:val="Compact"/>
      </w:pPr>
      <w:r>
        <w:rPr>
          <w:bCs/>
          <w:b/>
        </w:rPr>
        <w:t xml:space="preserve">Overall Score</w:t>
      </w:r>
      <w:r>
        <w:t xml:space="preserve">: 3.80/5</w:t>
      </w:r>
    </w:p>
    <w:p>
      <w:pPr>
        <w:numPr>
          <w:ilvl w:val="0"/>
          <w:numId w:val="1006"/>
        </w:numPr>
        <w:pStyle w:val="Compact"/>
      </w:pPr>
      <w:r>
        <w:rPr>
          <w:bCs/>
          <w:b/>
        </w:rPr>
        <w:t xml:space="preserve">Organization</w:t>
      </w:r>
      <w:r>
        <w:t xml:space="preserve">: NVIDIA</w:t>
      </w:r>
    </w:p>
    <w:p>
      <w:pPr>
        <w:numPr>
          <w:ilvl w:val="0"/>
          <w:numId w:val="1006"/>
        </w:numPr>
        <w:pStyle w:val="Compact"/>
      </w:pPr>
      <w:r>
        <w:rPr>
          <w:bCs/>
          <w:b/>
        </w:rPr>
        <w:t xml:space="preserve">Release Date</w:t>
      </w:r>
      <w:r>
        <w:t xml:space="preserve">: October 28, 2025</w:t>
      </w:r>
    </w:p>
    <w:p>
      <w:pPr>
        <w:numPr>
          <w:ilvl w:val="0"/>
          <w:numId w:val="1006"/>
        </w:numPr>
        <w:pStyle w:val="Compact"/>
      </w:pPr>
      <w:r>
        <w:rPr>
          <w:bCs/>
          <w:b/>
        </w:rPr>
        <w:t xml:space="preserve">Parameters</w:t>
      </w:r>
      <w:r>
        <w:t xml:space="preserve">: ~12.6B</w:t>
      </w:r>
    </w:p>
    <w:p>
      <w:pPr>
        <w:numPr>
          <w:ilvl w:val="0"/>
          <w:numId w:val="1006"/>
        </w:numPr>
        <w:pStyle w:val="Compact"/>
      </w:pPr>
      <w:r>
        <w:rPr>
          <w:bCs/>
          <w:b/>
        </w:rPr>
        <w:t xml:space="preserve">License</w:t>
      </w:r>
      <w:r>
        <w:t xml:space="preserve">: NVIDIA Open Model License</w:t>
      </w:r>
    </w:p>
    <w:p>
      <w:pPr>
        <w:numPr>
          <w:ilvl w:val="0"/>
          <w:numId w:val="1006"/>
        </w:numPr>
        <w:pStyle w:val="Compact"/>
      </w:pPr>
      <w:r>
        <w:rPr>
          <w:bCs/>
          <w:b/>
        </w:rPr>
        <w:t xml:space="preserve">Architecture</w:t>
      </w:r>
      <w:r>
        <w:t xml:space="preserve">: Dense multimodal vision-language model</w:t>
      </w:r>
    </w:p>
    <w:p>
      <w:pPr>
        <w:pStyle w:val="FirstParagraph"/>
      </w:pPr>
      <w:r>
        <w:rPr>
          <w:bCs/>
          <w:b/>
        </w:rPr>
        <w:t xml:space="preserve">Significance</w:t>
      </w:r>
      <w:r>
        <w:t xml:space="preserve">: Nemotron Nano v2 12B VL sets a new standard for production-ready document intelligence, combining state-of-the-art OCR with comprehensive multimodal reasoning across images, documents, and video.</w:t>
      </w:r>
    </w:p>
    <w:p>
      <w:pPr>
        <w:pStyle w:val="BodyText"/>
      </w:pPr>
      <w:r>
        <w:rPr>
          <w:bCs/>
          <w:b/>
        </w:rPr>
        <w:t xml:space="preserve">Use Cases</w:t>
      </w:r>
      <w:r>
        <w:t xml:space="preserve">: Enterprise document processing, automated report analysis, multimodal content understanding, video frame analysis.</w:t>
      </w:r>
    </w:p>
    <w:bookmarkEnd w:id="28"/>
    <w:bookmarkStart w:id="29" w:name="rank-5-qwen3-vl-32b"/>
    <w:p>
      <w:pPr>
        <w:pStyle w:val="Heading3"/>
      </w:pPr>
      <w:r>
        <w:t xml:space="preserve">Rank 5: Qwen3-VL-32B</w:t>
      </w:r>
    </w:p>
    <w:p>
      <w:pPr>
        <w:numPr>
          <w:ilvl w:val="0"/>
          <w:numId w:val="1007"/>
        </w:numPr>
        <w:pStyle w:val="Compact"/>
      </w:pPr>
      <w:r>
        <w:rPr>
          <w:bCs/>
          <w:b/>
        </w:rPr>
        <w:t xml:space="preserve">Overall Score</w:t>
      </w:r>
      <w:r>
        <w:t xml:space="preserve">: 3.40/5</w:t>
      </w:r>
    </w:p>
    <w:p>
      <w:pPr>
        <w:numPr>
          <w:ilvl w:val="0"/>
          <w:numId w:val="1007"/>
        </w:numPr>
        <w:pStyle w:val="Compact"/>
      </w:pPr>
      <w:r>
        <w:rPr>
          <w:bCs/>
          <w:b/>
        </w:rPr>
        <w:t xml:space="preserve">Organization</w:t>
      </w:r>
      <w:r>
        <w:t xml:space="preserve">: Alibaba (Qwen)</w:t>
      </w:r>
    </w:p>
    <w:p>
      <w:pPr>
        <w:numPr>
          <w:ilvl w:val="0"/>
          <w:numId w:val="1007"/>
        </w:numPr>
        <w:pStyle w:val="Compact"/>
      </w:pPr>
      <w:r>
        <w:rPr>
          <w:bCs/>
          <w:b/>
        </w:rPr>
        <w:t xml:space="preserve">Release Date</w:t>
      </w:r>
      <w:r>
        <w:t xml:space="preserve">: October 22, 2025</w:t>
      </w:r>
    </w:p>
    <w:p>
      <w:pPr>
        <w:numPr>
          <w:ilvl w:val="0"/>
          <w:numId w:val="1007"/>
        </w:numPr>
        <w:pStyle w:val="Compact"/>
      </w:pPr>
      <w:r>
        <w:rPr>
          <w:bCs/>
          <w:b/>
        </w:rPr>
        <w:t xml:space="preserve">Parameters</w:t>
      </w:r>
      <w:r>
        <w:t xml:space="preserve">: 32B (dense VLM)</w:t>
      </w:r>
    </w:p>
    <w:p>
      <w:pPr>
        <w:numPr>
          <w:ilvl w:val="0"/>
          <w:numId w:val="1007"/>
        </w:numPr>
        <w:pStyle w:val="Compact"/>
      </w:pPr>
      <w:r>
        <w:rPr>
          <w:bCs/>
          <w:b/>
        </w:rPr>
        <w:t xml:space="preserve">License</w:t>
      </w:r>
      <w:r>
        <w:t xml:space="preserve">: Apache 2.0</w:t>
      </w:r>
    </w:p>
    <w:p>
      <w:pPr>
        <w:numPr>
          <w:ilvl w:val="0"/>
          <w:numId w:val="1007"/>
        </w:numPr>
        <w:pStyle w:val="Compact"/>
      </w:pPr>
      <w:r>
        <w:rPr>
          <w:bCs/>
          <w:b/>
        </w:rPr>
        <w:t xml:space="preserve">Architecture</w:t>
      </w:r>
      <w:r>
        <w:t xml:space="preserve">: Dense vision-language model</w:t>
      </w:r>
    </w:p>
    <w:p>
      <w:pPr>
        <w:pStyle w:val="FirstParagraph"/>
      </w:pPr>
      <w:r>
        <w:rPr>
          <w:bCs/>
          <w:b/>
        </w:rPr>
        <w:t xml:space="preserve">Significance</w:t>
      </w:r>
      <w:r>
        <w:t xml:space="preserve">: Qwen3-VL-32B provides an optimal balance of multimodal capability and computational efficiency for server-class deployments, offering comprehensive vision-language understanding with a permissive license.</w:t>
      </w:r>
    </w:p>
    <w:p>
      <w:pPr>
        <w:pStyle w:val="BodyText"/>
      </w:pPr>
      <w:r>
        <w:rPr>
          <w:bCs/>
          <w:b/>
        </w:rPr>
        <w:t xml:space="preserve">Use Cases</w:t>
      </w:r>
      <w:r>
        <w:t xml:space="preserve">: Server-class multimodal reasoning, video content analysis, multilingual document processing, GUI automation.</w:t>
      </w:r>
    </w:p>
    <w:bookmarkEnd w:id="29"/>
    <w:bookmarkStart w:id="30" w:name="rank-6-flashvsr"/>
    <w:p>
      <w:pPr>
        <w:pStyle w:val="Heading3"/>
      </w:pPr>
      <w:r>
        <w:t xml:space="preserve">Rank 6: FlashVSR</w:t>
      </w:r>
    </w:p>
    <w:p>
      <w:pPr>
        <w:numPr>
          <w:ilvl w:val="0"/>
          <w:numId w:val="1008"/>
        </w:numPr>
        <w:pStyle w:val="Compact"/>
      </w:pPr>
      <w:r>
        <w:rPr>
          <w:bCs/>
          <w:b/>
        </w:rPr>
        <w:t xml:space="preserve">Overall Score</w:t>
      </w:r>
      <w:r>
        <w:t xml:space="preserve">: 3.35/5</w:t>
      </w:r>
    </w:p>
    <w:p>
      <w:pPr>
        <w:numPr>
          <w:ilvl w:val="0"/>
          <w:numId w:val="1008"/>
        </w:numPr>
        <w:pStyle w:val="Compact"/>
      </w:pPr>
      <w:r>
        <w:rPr>
          <w:bCs/>
          <w:b/>
        </w:rPr>
        <w:t xml:space="preserve">Organization</w:t>
      </w:r>
      <w:r>
        <w:t xml:space="preserve">: OpenImagingLab</w:t>
      </w:r>
    </w:p>
    <w:p>
      <w:pPr>
        <w:numPr>
          <w:ilvl w:val="0"/>
          <w:numId w:val="1008"/>
        </w:numPr>
        <w:pStyle w:val="Compact"/>
      </w:pPr>
      <w:r>
        <w:rPr>
          <w:bCs/>
          <w:b/>
        </w:rPr>
        <w:t xml:space="preserve">Release Date</w:t>
      </w:r>
      <w:r>
        <w:t xml:space="preserve">: October 2025</w:t>
      </w:r>
    </w:p>
    <w:p>
      <w:pPr>
        <w:numPr>
          <w:ilvl w:val="0"/>
          <w:numId w:val="1008"/>
        </w:numPr>
        <w:pStyle w:val="Compact"/>
      </w:pPr>
      <w:r>
        <w:rPr>
          <w:bCs/>
          <w:b/>
        </w:rPr>
        <w:t xml:space="preserve">Parameters</w:t>
      </w:r>
      <w:r>
        <w:t xml:space="preserve">: N/A (diffusion architecture)</w:t>
      </w:r>
    </w:p>
    <w:p>
      <w:pPr>
        <w:numPr>
          <w:ilvl w:val="0"/>
          <w:numId w:val="1008"/>
        </w:numPr>
        <w:pStyle w:val="Compact"/>
      </w:pPr>
      <w:r>
        <w:rPr>
          <w:bCs/>
          <w:b/>
        </w:rPr>
        <w:t xml:space="preserve">License</w:t>
      </w:r>
      <w:r>
        <w:t xml:space="preserve">: Apache 2.0</w:t>
      </w:r>
    </w:p>
    <w:p>
      <w:pPr>
        <w:numPr>
          <w:ilvl w:val="0"/>
          <w:numId w:val="1008"/>
        </w:numPr>
        <w:pStyle w:val="Compact"/>
      </w:pPr>
      <w:r>
        <w:rPr>
          <w:bCs/>
          <w:b/>
        </w:rPr>
        <w:t xml:space="preserve">Architecture</w:t>
      </w:r>
      <w:r>
        <w:t xml:space="preserve">: One-step diffusion with locality-constrained sparse attention</w:t>
      </w:r>
    </w:p>
    <w:p>
      <w:pPr>
        <w:pStyle w:val="FirstParagraph"/>
      </w:pPr>
      <w:r>
        <w:rPr>
          <w:bCs/>
          <w:b/>
        </w:rPr>
        <w:t xml:space="preserve">Significance</w:t>
      </w:r>
      <w:r>
        <w:t xml:space="preserve">: FlashVSR represents a paradigm shift in video super-resolution, achieving real-time diffusion-quality upscaling that makes high-quality video enhancement practical for production applications.</w:t>
      </w:r>
    </w:p>
    <w:p>
      <w:pPr>
        <w:pStyle w:val="BodyText"/>
      </w:pPr>
      <w:r>
        <w:rPr>
          <w:bCs/>
          <w:b/>
        </w:rPr>
        <w:t xml:space="preserve">Use Cases</w:t>
      </w:r>
      <w:r>
        <w:t xml:space="preserve">: Real-time video streaming enhancement, interactive video editing, live broadcast upscaling.</w:t>
      </w:r>
    </w:p>
    <w:bookmarkEnd w:id="30"/>
    <w:bookmarkStart w:id="31" w:name="rank-7-mobilellm-pro-1b"/>
    <w:p>
      <w:pPr>
        <w:pStyle w:val="Heading3"/>
      </w:pPr>
      <w:r>
        <w:t xml:space="preserve">Rank 7: MobileLLM-Pro 1B</w:t>
      </w:r>
    </w:p>
    <w:p>
      <w:pPr>
        <w:numPr>
          <w:ilvl w:val="0"/>
          <w:numId w:val="1009"/>
        </w:numPr>
        <w:pStyle w:val="Compact"/>
      </w:pPr>
      <w:r>
        <w:rPr>
          <w:bCs/>
          <w:b/>
        </w:rPr>
        <w:t xml:space="preserve">Overall Score</w:t>
      </w:r>
      <w:r>
        <w:t xml:space="preserve">: 3.25/5</w:t>
      </w:r>
    </w:p>
    <w:p>
      <w:pPr>
        <w:numPr>
          <w:ilvl w:val="0"/>
          <w:numId w:val="1009"/>
        </w:numPr>
        <w:pStyle w:val="Compact"/>
      </w:pPr>
      <w:r>
        <w:rPr>
          <w:bCs/>
          <w:b/>
        </w:rPr>
        <w:t xml:space="preserve">Organization</w:t>
      </w:r>
      <w:r>
        <w:t xml:space="preserve">: Meta Reality Labs</w:t>
      </w:r>
    </w:p>
    <w:p>
      <w:pPr>
        <w:numPr>
          <w:ilvl w:val="0"/>
          <w:numId w:val="1009"/>
        </w:numPr>
        <w:pStyle w:val="Compact"/>
      </w:pPr>
      <w:r>
        <w:rPr>
          <w:bCs/>
          <w:b/>
        </w:rPr>
        <w:t xml:space="preserve">Release Date</w:t>
      </w:r>
      <w:r>
        <w:t xml:space="preserve">: October 2025</w:t>
      </w:r>
    </w:p>
    <w:p>
      <w:pPr>
        <w:numPr>
          <w:ilvl w:val="0"/>
          <w:numId w:val="1009"/>
        </w:numPr>
        <w:pStyle w:val="Compact"/>
      </w:pPr>
      <w:r>
        <w:rPr>
          <w:bCs/>
          <w:b/>
        </w:rPr>
        <w:t xml:space="preserve">Parameters</w:t>
      </w:r>
      <w:r>
        <w:t xml:space="preserve">: 1B</w:t>
      </w:r>
    </w:p>
    <w:p>
      <w:pPr>
        <w:numPr>
          <w:ilvl w:val="0"/>
          <w:numId w:val="1009"/>
        </w:numPr>
        <w:pStyle w:val="Compact"/>
      </w:pPr>
      <w:r>
        <w:rPr>
          <w:bCs/>
          <w:b/>
        </w:rPr>
        <w:t xml:space="preserve">License</w:t>
      </w:r>
      <w:r>
        <w:t xml:space="preserve">: Open-weight (Meta)</w:t>
      </w:r>
    </w:p>
    <w:p>
      <w:pPr>
        <w:numPr>
          <w:ilvl w:val="0"/>
          <w:numId w:val="1009"/>
        </w:numPr>
        <w:pStyle w:val="Compact"/>
      </w:pPr>
      <w:r>
        <w:rPr>
          <w:bCs/>
          <w:b/>
        </w:rPr>
        <w:t xml:space="preserve">Architecture</w:t>
      </w:r>
      <w:r>
        <w:t xml:space="preserve">: Transformer with interleaved local-global attention</w:t>
      </w:r>
    </w:p>
    <w:p>
      <w:pPr>
        <w:pStyle w:val="FirstParagraph"/>
      </w:pPr>
      <w:r>
        <w:rPr>
          <w:bCs/>
          <w:b/>
        </w:rPr>
        <w:t xml:space="preserve">Significance</w:t>
      </w:r>
      <w:r>
        <w:t xml:space="preserve">: MobileLLM-Pro 1B sets a new standard for on-device AI capability, demonstrating that carefully optimized small models can deliver competitive performance with dramatic efficiency improvements for mobile and edge deployment.</w:t>
      </w:r>
    </w:p>
    <w:p>
      <w:pPr>
        <w:pStyle w:val="BodyText"/>
      </w:pPr>
      <w:r>
        <w:rPr>
          <w:bCs/>
          <w:b/>
        </w:rPr>
        <w:t xml:space="preserve">Use Cases</w:t>
      </w:r>
      <w:r>
        <w:t xml:space="preserve">: Mobile applications, edge computing, on-device code assistance, local RAG systems.</w:t>
      </w:r>
    </w:p>
    <w:bookmarkEnd w:id="31"/>
    <w:bookmarkStart w:id="32" w:name="rank-8-qwen3-vl-2b"/>
    <w:p>
      <w:pPr>
        <w:pStyle w:val="Heading3"/>
      </w:pPr>
      <w:r>
        <w:t xml:space="preserve">Rank 8: Qwen3-VL-2B</w:t>
      </w:r>
    </w:p>
    <w:p>
      <w:pPr>
        <w:numPr>
          <w:ilvl w:val="0"/>
          <w:numId w:val="1010"/>
        </w:numPr>
        <w:pStyle w:val="Compact"/>
      </w:pPr>
      <w:r>
        <w:rPr>
          <w:bCs/>
          <w:b/>
        </w:rPr>
        <w:t xml:space="preserve">Overall Score</w:t>
      </w:r>
      <w:r>
        <w:t xml:space="preserve">: 2.95/5</w:t>
      </w:r>
    </w:p>
    <w:p>
      <w:pPr>
        <w:numPr>
          <w:ilvl w:val="0"/>
          <w:numId w:val="1010"/>
        </w:numPr>
        <w:pStyle w:val="Compact"/>
      </w:pPr>
      <w:r>
        <w:rPr>
          <w:bCs/>
          <w:b/>
        </w:rPr>
        <w:t xml:space="preserve">Organization</w:t>
      </w:r>
      <w:r>
        <w:t xml:space="preserve">: Alibaba (Qwen)</w:t>
      </w:r>
    </w:p>
    <w:p>
      <w:pPr>
        <w:numPr>
          <w:ilvl w:val="0"/>
          <w:numId w:val="1010"/>
        </w:numPr>
        <w:pStyle w:val="Compact"/>
      </w:pPr>
      <w:r>
        <w:rPr>
          <w:bCs/>
          <w:b/>
        </w:rPr>
        <w:t xml:space="preserve">Release Date</w:t>
      </w:r>
      <w:r>
        <w:t xml:space="preserve">: October 22, 2025</w:t>
      </w:r>
    </w:p>
    <w:p>
      <w:pPr>
        <w:numPr>
          <w:ilvl w:val="0"/>
          <w:numId w:val="1010"/>
        </w:numPr>
        <w:pStyle w:val="Compact"/>
      </w:pPr>
      <w:r>
        <w:rPr>
          <w:bCs/>
          <w:b/>
        </w:rPr>
        <w:t xml:space="preserve">Parameters</w:t>
      </w:r>
      <w:r>
        <w:t xml:space="preserve">: 2B (dense VLM)</w:t>
      </w:r>
    </w:p>
    <w:p>
      <w:pPr>
        <w:numPr>
          <w:ilvl w:val="0"/>
          <w:numId w:val="1010"/>
        </w:numPr>
        <w:pStyle w:val="Compact"/>
      </w:pPr>
      <w:r>
        <w:rPr>
          <w:bCs/>
          <w:b/>
        </w:rPr>
        <w:t xml:space="preserve">License</w:t>
      </w:r>
      <w:r>
        <w:t xml:space="preserve">: Apache 2.0</w:t>
      </w:r>
    </w:p>
    <w:p>
      <w:pPr>
        <w:numPr>
          <w:ilvl w:val="0"/>
          <w:numId w:val="1010"/>
        </w:numPr>
        <w:pStyle w:val="Compact"/>
      </w:pPr>
      <w:r>
        <w:rPr>
          <w:bCs/>
          <w:b/>
        </w:rPr>
        <w:t xml:space="preserve">Architecture</w:t>
      </w:r>
      <w:r>
        <w:t xml:space="preserve">: Dense vision-language model optimized for edge deployment</w:t>
      </w:r>
    </w:p>
    <w:p>
      <w:pPr>
        <w:pStyle w:val="FirstParagraph"/>
      </w:pPr>
      <w:r>
        <w:rPr>
          <w:bCs/>
          <w:b/>
        </w:rPr>
        <w:t xml:space="preserve">Significance</w:t>
      </w:r>
      <w:r>
        <w:t xml:space="preserve">: Qwen3-VL-2B fills the critical gap for mobile multimodal applications, providing practical vision-language capabilities in a compact form factor suitable for on-device deployment.</w:t>
      </w:r>
    </w:p>
    <w:p>
      <w:pPr>
        <w:pStyle w:val="BodyText"/>
      </w:pPr>
      <w:r>
        <w:rPr>
          <w:bCs/>
          <w:b/>
        </w:rPr>
        <w:t xml:space="preserve">Use Cases</w:t>
      </w:r>
      <w:r>
        <w:t xml:space="preserve">: Mobile vision applications, edge multimodal processing, on-device OCR.</w:t>
      </w:r>
    </w:p>
    <w:bookmarkEnd w:id="32"/>
    <w:bookmarkStart w:id="33" w:name="rank-9-deepseek-ocr"/>
    <w:p>
      <w:pPr>
        <w:pStyle w:val="Heading3"/>
      </w:pPr>
      <w:r>
        <w:t xml:space="preserve">Rank 9: DeepSeek-OCR</w:t>
      </w:r>
    </w:p>
    <w:p>
      <w:pPr>
        <w:numPr>
          <w:ilvl w:val="0"/>
          <w:numId w:val="1011"/>
        </w:numPr>
        <w:pStyle w:val="Compact"/>
      </w:pPr>
      <w:r>
        <w:rPr>
          <w:bCs/>
          <w:b/>
        </w:rPr>
        <w:t xml:space="preserve">Overall Score</w:t>
      </w:r>
      <w:r>
        <w:t xml:space="preserve">: 2.85/5</w:t>
      </w:r>
    </w:p>
    <w:p>
      <w:pPr>
        <w:numPr>
          <w:ilvl w:val="0"/>
          <w:numId w:val="1011"/>
        </w:numPr>
        <w:pStyle w:val="Compact"/>
      </w:pPr>
      <w:r>
        <w:rPr>
          <w:bCs/>
          <w:b/>
        </w:rPr>
        <w:t xml:space="preserve">Organization</w:t>
      </w:r>
      <w:r>
        <w:t xml:space="preserve">: DeepSeek</w:t>
      </w:r>
    </w:p>
    <w:p>
      <w:pPr>
        <w:numPr>
          <w:ilvl w:val="0"/>
          <w:numId w:val="1011"/>
        </w:numPr>
        <w:pStyle w:val="Compact"/>
      </w:pPr>
      <w:r>
        <w:rPr>
          <w:bCs/>
          <w:b/>
        </w:rPr>
        <w:t xml:space="preserve">Release Date</w:t>
      </w:r>
      <w:r>
        <w:t xml:space="preserve">: October 2025</w:t>
      </w:r>
    </w:p>
    <w:p>
      <w:pPr>
        <w:numPr>
          <w:ilvl w:val="0"/>
          <w:numId w:val="1011"/>
        </w:numPr>
        <w:pStyle w:val="Compact"/>
      </w:pPr>
      <w:r>
        <w:rPr>
          <w:bCs/>
          <w:b/>
        </w:rPr>
        <w:t xml:space="preserve">Parameters</w:t>
      </w:r>
      <w:r>
        <w:t xml:space="preserve">: 3B (VLM)</w:t>
      </w:r>
    </w:p>
    <w:p>
      <w:pPr>
        <w:numPr>
          <w:ilvl w:val="0"/>
          <w:numId w:val="1011"/>
        </w:numPr>
        <w:pStyle w:val="Compact"/>
      </w:pPr>
      <w:r>
        <w:rPr>
          <w:bCs/>
          <w:b/>
        </w:rPr>
        <w:t xml:space="preserve">License</w:t>
      </w:r>
      <w:r>
        <w:t xml:space="preserve">: MIT</w:t>
      </w:r>
    </w:p>
    <w:p>
      <w:pPr>
        <w:numPr>
          <w:ilvl w:val="0"/>
          <w:numId w:val="1011"/>
        </w:numPr>
        <w:pStyle w:val="Compact"/>
      </w:pPr>
      <w:r>
        <w:rPr>
          <w:bCs/>
          <w:b/>
        </w:rPr>
        <w:t xml:space="preserve">Architecture</w:t>
      </w:r>
      <w:r>
        <w:t xml:space="preserve">: Vision-language model with context optical compression</w:t>
      </w:r>
    </w:p>
    <w:p>
      <w:pPr>
        <w:pStyle w:val="FirstParagraph"/>
      </w:pPr>
      <w:r>
        <w:rPr>
          <w:bCs/>
          <w:b/>
        </w:rPr>
        <w:t xml:space="preserve">Significance</w:t>
      </w:r>
      <w:r>
        <w:t xml:space="preserve">: DeepSeek-OCR specializes in high-throughput document processing, offering exceptional efficiency improvements that make large-scale OCR operations economically viable.</w:t>
      </w:r>
    </w:p>
    <w:p>
      <w:pPr>
        <w:pStyle w:val="BodyText"/>
      </w:pPr>
      <w:r>
        <w:rPr>
          <w:bCs/>
          <w:b/>
        </w:rPr>
        <w:t xml:space="preserve">Use Cases</w:t>
      </w:r>
      <w:r>
        <w:t xml:space="preserve">: High-volume document digitization, automated data extraction, enterprise document processing pipelines.</w:t>
      </w:r>
    </w:p>
    <w:bookmarkEnd w:id="33"/>
    <w:bookmarkStart w:id="34" w:name="rank-10-nucleusdiff"/>
    <w:p>
      <w:pPr>
        <w:pStyle w:val="Heading3"/>
      </w:pPr>
      <w:r>
        <w:t xml:space="preserve">Rank 10: NucleusDiff</w:t>
      </w:r>
    </w:p>
    <w:p>
      <w:pPr>
        <w:numPr>
          <w:ilvl w:val="0"/>
          <w:numId w:val="1012"/>
        </w:numPr>
        <w:pStyle w:val="Compact"/>
      </w:pPr>
      <w:r>
        <w:rPr>
          <w:bCs/>
          <w:b/>
        </w:rPr>
        <w:t xml:space="preserve">Overall Score</w:t>
      </w:r>
      <w:r>
        <w:t xml:space="preserve">: 2.75/5</w:t>
      </w:r>
    </w:p>
    <w:p>
      <w:pPr>
        <w:numPr>
          <w:ilvl w:val="0"/>
          <w:numId w:val="1012"/>
        </w:numPr>
        <w:pStyle w:val="Compact"/>
      </w:pPr>
      <w:r>
        <w:rPr>
          <w:bCs/>
          <w:b/>
        </w:rPr>
        <w:t xml:space="preserve">Organization</w:t>
      </w:r>
      <w:r>
        <w:t xml:space="preserve">: Caltech (Anandkumar et al.)</w:t>
      </w:r>
    </w:p>
    <w:p>
      <w:pPr>
        <w:numPr>
          <w:ilvl w:val="0"/>
          <w:numId w:val="1012"/>
        </w:numPr>
        <w:pStyle w:val="Compact"/>
      </w:pPr>
      <w:r>
        <w:rPr>
          <w:bCs/>
          <w:b/>
        </w:rPr>
        <w:t xml:space="preserve">Release Date</w:t>
      </w:r>
      <w:r>
        <w:t xml:space="preserve">: October 20, 2025</w:t>
      </w:r>
    </w:p>
    <w:p>
      <w:pPr>
        <w:numPr>
          <w:ilvl w:val="0"/>
          <w:numId w:val="1012"/>
        </w:numPr>
        <w:pStyle w:val="Compact"/>
      </w:pPr>
      <w:r>
        <w:rPr>
          <w:bCs/>
          <w:b/>
        </w:rPr>
        <w:t xml:space="preserve">Parameters</w:t>
      </w:r>
      <w:r>
        <w:t xml:space="preserve">: N/A (physics-constrained diffusion)</w:t>
      </w:r>
    </w:p>
    <w:p>
      <w:pPr>
        <w:numPr>
          <w:ilvl w:val="0"/>
          <w:numId w:val="1012"/>
        </w:numPr>
        <w:pStyle w:val="Compact"/>
      </w:pPr>
      <w:r>
        <w:rPr>
          <w:bCs/>
          <w:b/>
        </w:rPr>
        <w:t xml:space="preserve">License</w:t>
      </w:r>
      <w:r>
        <w:t xml:space="preserve">: Academic publication (PNAS)</w:t>
      </w:r>
    </w:p>
    <w:p>
      <w:pPr>
        <w:numPr>
          <w:ilvl w:val="0"/>
          <w:numId w:val="1012"/>
        </w:numPr>
        <w:pStyle w:val="Compact"/>
      </w:pPr>
      <w:r>
        <w:rPr>
          <w:bCs/>
          <w:b/>
        </w:rPr>
        <w:t xml:space="preserve">Architecture</w:t>
      </w:r>
      <w:r>
        <w:t xml:space="preserve">: Physics-constrained diffusion for molecular design</w:t>
      </w:r>
    </w:p>
    <w:p>
      <w:pPr>
        <w:pStyle w:val="FirstParagraph"/>
      </w:pPr>
      <w:r>
        <w:rPr>
          <w:bCs/>
          <w:b/>
        </w:rPr>
        <w:t xml:space="preserve">Significance</w:t>
      </w:r>
      <w:r>
        <w:t xml:space="preserve">: NucleusDiff represents a fundamental breakthrough in scientific AI, demonstrating how physics constraints can dramatically improve the reliability and applicability of AI-generated molecular designs.</w:t>
      </w:r>
    </w:p>
    <w:p>
      <w:pPr>
        <w:pStyle w:val="BodyText"/>
      </w:pPr>
      <w:r>
        <w:rPr>
          <w:bCs/>
          <w:b/>
        </w:rPr>
        <w:t xml:space="preserve">Use Cases</w:t>
      </w:r>
      <w:r>
        <w:t xml:space="preserve">: Drug discovery, molecular design, computational biology research.</w:t>
      </w:r>
    </w:p>
    <w:bookmarkEnd w:id="34"/>
    <w:bookmarkEnd w:id="35"/>
    <w:bookmarkStart w:id="41" w:name="comparative-analysis"/>
    <w:p>
      <w:pPr>
        <w:pStyle w:val="Heading2"/>
      </w:pPr>
      <w:r>
        <w:t xml:space="preserve">4. Comparative Analysis</w:t>
      </w:r>
    </w:p>
    <w:p>
      <w:pPr>
        <w:pStyle w:val="FirstParagraph"/>
      </w:pPr>
      <w:r>
        <w:t xml:space="preserve">This section provides a comparative analysis of the top 10 models, highlighting key trends and providing a visual overview of the competitive landscape.</w:t>
      </w:r>
    </w:p>
    <w:bookmarkStart w:id="36" w:name="visual-score-comparison"/>
    <w:p>
      <w:pPr>
        <w:pStyle w:val="Heading3"/>
      </w:pPr>
      <w:r>
        <w:t xml:space="preserve">4.1. Visual Score Comparison</w:t>
      </w:r>
    </w:p>
    <w:p>
      <w:pPr>
        <w:pStyle w:val="SourceCode"/>
      </w:pPr>
      <w:r>
        <w:rPr>
          <w:rStyle w:val="VerbatimChar"/>
        </w:rPr>
        <w:t xml:space="preserve">Overall Rankings - Score Distribution (0.0 to 5.0)</w:t>
      </w:r>
      <w:r>
        <w:br/>
      </w:r>
      <w:r>
        <w:rPr>
          <w:rStyle w:val="VerbatimChar"/>
        </w:rPr>
        <w:t xml:space="preserve">═══════════════════════════════════════════════════════════════════════════════</w:t>
      </w:r>
      <w:r>
        <w:br/>
      </w:r>
      <w:r>
        <w:br/>
      </w:r>
      <w:r>
        <w:rPr>
          <w:rStyle w:val="VerbatimChar"/>
        </w:rPr>
        <w:t xml:space="preserve">#1  MiniMax M2                    ████████████████████████████████████████████▌ 4.65</w:t>
      </w:r>
      <w:r>
        <w:br/>
      </w:r>
      <w:r>
        <w:rPr>
          <w:rStyle w:val="VerbatimChar"/>
        </w:rPr>
        <w:t xml:space="preserve">#2  IBM Granite 4.0-H-Small       ███████████████████████████████████████████▌  4.55</w:t>
      </w:r>
      <w:r>
        <w:br/>
      </w:r>
      <w:r>
        <w:rPr>
          <w:rStyle w:val="VerbatimChar"/>
        </w:rPr>
        <w:t xml:space="preserve">#3  IBM Granite 4.0-H-1B          ████████████████████████████████████▌         3.95</w:t>
      </w:r>
      <w:r>
        <w:br/>
      </w:r>
      <w:r>
        <w:rPr>
          <w:rStyle w:val="VerbatimChar"/>
        </w:rPr>
        <w:t xml:space="preserve">#4  NVIDIA Nemotron Nano v2       ███████████████████████████████████▌          3.80</w:t>
      </w:r>
      <w:r>
        <w:br/>
      </w:r>
      <w:r>
        <w:rPr>
          <w:rStyle w:val="VerbatimChar"/>
        </w:rPr>
        <w:t xml:space="preserve">#5  Qwen3-VL-32B                  ███████████████████████████▌                  3.40</w:t>
      </w:r>
      <w:r>
        <w:br/>
      </w:r>
      <w:r>
        <w:rPr>
          <w:rStyle w:val="VerbatimChar"/>
        </w:rPr>
        <w:t xml:space="preserve">#6  FlashVSR                      ██████████████████████████▌                   3.35</w:t>
      </w:r>
      <w:r>
        <w:br/>
      </w:r>
      <w:r>
        <w:rPr>
          <w:rStyle w:val="VerbatimChar"/>
        </w:rPr>
        <w:t xml:space="preserve">#7  MobileLLM-Pro 1B              █████████████████████████▌                    3.25</w:t>
      </w:r>
      <w:r>
        <w:br/>
      </w:r>
      <w:r>
        <w:rPr>
          <w:rStyle w:val="VerbatimChar"/>
        </w:rPr>
        <w:t xml:space="preserve">#8  Qwen3-VL-2B                   ████████████████████▌                         2.95</w:t>
      </w:r>
      <w:r>
        <w:br/>
      </w:r>
      <w:r>
        <w:rPr>
          <w:rStyle w:val="VerbatimChar"/>
        </w:rPr>
        <w:t xml:space="preserve">#9  DeepSeek-OCR                  ████████████████████▌                         2.85</w:t>
      </w:r>
      <w:r>
        <w:br/>
      </w:r>
      <w:r>
        <w:rPr>
          <w:rStyle w:val="VerbatimChar"/>
        </w:rPr>
        <w:t xml:space="preserve">#10 NucleusDiff                   ████████████████████                          2.75</w:t>
      </w:r>
      <w:r>
        <w:br/>
      </w:r>
      <w:r>
        <w:br/>
      </w:r>
      <w:r>
        <w:rPr>
          <w:rStyle w:val="VerbatimChar"/>
        </w:rPr>
        <w:t xml:space="preserve">    0.0    1.0    2.0    3.0    4.0    5.0</w:t>
      </w:r>
    </w:p>
    <w:bookmarkEnd w:id="36"/>
    <w:bookmarkStart w:id="37" w:name="parameter-size-comparison"/>
    <w:p>
      <w:pPr>
        <w:pStyle w:val="Heading3"/>
      </w:pPr>
      <w:r>
        <w:t xml:space="preserve">4.2. Parameter Size Comparison</w:t>
      </w:r>
    </w:p>
    <w:p>
      <w:pPr>
        <w:pStyle w:val="SourceCode"/>
      </w:pPr>
      <w:r>
        <w:rPr>
          <w:rStyle w:val="VerbatimChar"/>
        </w:rPr>
        <w:t xml:space="preserve">Active Parameter Sizes (Billions)</w:t>
      </w:r>
      <w:r>
        <w:br/>
      </w:r>
      <w:r>
        <w:rPr>
          <w:rStyle w:val="VerbatimChar"/>
        </w:rPr>
        <w:t xml:space="preserve">═══════════════════════════════════════════════════════════════════════════════</w:t>
      </w:r>
      <w:r>
        <w:br/>
      </w:r>
      <w:r>
        <w:br/>
      </w:r>
      <w:r>
        <w:rPr>
          <w:rStyle w:val="VerbatimChar"/>
        </w:rPr>
        <w:t xml:space="preserve">Qwen3-VL-32B                      ████████████████████████████████ 32B</w:t>
      </w:r>
      <w:r>
        <w:br/>
      </w:r>
      <w:r>
        <w:rPr>
          <w:rStyle w:val="VerbatimChar"/>
        </w:rPr>
        <w:t xml:space="preserve">NVIDIA Nemotron                   ████████████▌                    12.6B</w:t>
      </w:r>
      <w:r>
        <w:br/>
      </w:r>
      <w:r>
        <w:rPr>
          <w:rStyle w:val="VerbatimChar"/>
        </w:rPr>
        <w:t xml:space="preserve">MiniMax M2 (active)               ██████████                       10B</w:t>
      </w:r>
      <w:r>
        <w:br/>
      </w:r>
      <w:r>
        <w:rPr>
          <w:rStyle w:val="VerbatimChar"/>
        </w:rPr>
        <w:t xml:space="preserve">IBM Granite 4.0-H-Small (active) █████████                        9B</w:t>
      </w:r>
      <w:r>
        <w:br/>
      </w:r>
      <w:r>
        <w:rPr>
          <w:rStyle w:val="VerbatimChar"/>
        </w:rPr>
        <w:t xml:space="preserve">DeepSeek-OCR                      ███                              3B</w:t>
      </w:r>
      <w:r>
        <w:br/>
      </w:r>
      <w:r>
        <w:rPr>
          <w:rStyle w:val="VerbatimChar"/>
        </w:rPr>
        <w:t xml:space="preserve">Qwen3-VL-2B                       ██                               2B</w:t>
      </w:r>
      <w:r>
        <w:br/>
      </w:r>
      <w:r>
        <w:rPr>
          <w:rStyle w:val="VerbatimChar"/>
        </w:rPr>
        <w:t xml:space="preserve">IBM Granite 4.0-H-1B              █▌                               1.5B</w:t>
      </w:r>
      <w:r>
        <w:br/>
      </w:r>
      <w:r>
        <w:rPr>
          <w:rStyle w:val="VerbatimChar"/>
        </w:rPr>
        <w:t xml:space="preserve">MobileLLM-Pro 1B                  █                                1B</w:t>
      </w:r>
      <w:r>
        <w:br/>
      </w:r>
      <w:r>
        <w:br/>
      </w:r>
      <w:r>
        <w:rPr>
          <w:rStyle w:val="VerbatimChar"/>
        </w:rPr>
        <w:t xml:space="preserve">0B         10B        20B        30B        40B</w:t>
      </w:r>
    </w:p>
    <w:bookmarkEnd w:id="37"/>
    <w:bookmarkStart w:id="38" w:name="architectural-innovation-trends"/>
    <w:p>
      <w:pPr>
        <w:pStyle w:val="Heading3"/>
      </w:pPr>
      <w:r>
        <w:t xml:space="preserve">4.3. Architectural Innovation Trends</w:t>
      </w:r>
    </w:p>
    <w:p>
      <w:pPr>
        <w:pStyle w:val="FirstParagraph"/>
      </w:pPr>
      <w:r>
        <w:t xml:space="preserve">The October 2025 releases demonstrate a decisive shift from traditional dense scaling toward specialized architectural innovations. IBM’s hybrid Mamba/Transformer approach achieves dramatic efficiency improvements, MiniMax’s agent-native MoE design optimizes for long-horizon stability, and FlashVSR’s one-step diffusion enables real-time video processing. These architectures prioritize operational efficiency and task-specific optimization over pure parameter scaling.</w:t>
      </w:r>
    </w:p>
    <w:bookmarkEnd w:id="38"/>
    <w:bookmarkStart w:id="39" w:name="multimodal-capabilities-maturation"/>
    <w:p>
      <w:pPr>
        <w:pStyle w:val="Heading3"/>
      </w:pPr>
      <w:r>
        <w:t xml:space="preserve">4.4. Multimodal Capabilities Maturation</w:t>
      </w:r>
    </w:p>
    <w:p>
      <w:pPr>
        <w:pStyle w:val="FirstParagraph"/>
      </w:pPr>
      <w:r>
        <w:t xml:space="preserve">Multimodal models have evolved from research demonstrations to production-ready systems. NVIDIA’s Nemotron achieves state-of-the-art document intelligence, Qwen’s VL family provides comprehensive vision-language capabilities across deployment scales, and specialized models like DeepSeek-OCR deliver focused functionality with exceptional throughput. This maturation enables practical enterprise adoption across diverse use cases.</w:t>
      </w:r>
    </w:p>
    <w:bookmarkEnd w:id="39"/>
    <w:bookmarkStart w:id="40" w:name="licensing-and-commercial-viability"/>
    <w:p>
      <w:pPr>
        <w:pStyle w:val="Heading3"/>
      </w:pPr>
      <w:r>
        <w:t xml:space="preserve">4.5. Licensing and Commercial Viability</w:t>
      </w:r>
    </w:p>
    <w:p>
      <w:pPr>
        <w:pStyle w:val="FirstParagraph"/>
      </w:pPr>
      <w:r>
        <w:t xml:space="preserve">The October 2025 landscape shows strong preference for permissive licensing, with Apache 2.0 and MIT licenses dominating the top rankings. This trend indicates the open-source AI ecosystem’s commitment to enabling broad commercial adoption and integration, reducing barriers for enterprise deployment and innovation.</w:t>
      </w:r>
    </w:p>
    <w:p>
      <w:pPr>
        <w:pStyle w:val="SourceCode"/>
      </w:pPr>
      <w:r>
        <w:rPr>
          <w:rStyle w:val="VerbatimChar"/>
        </w:rPr>
        <w:t xml:space="preserve">License Distribution Pie Chart (ASCII)</w:t>
      </w:r>
      <w:r>
        <w:br/>
      </w:r>
      <w:r>
        <w:rPr>
          <w:rStyle w:val="VerbatimChar"/>
        </w:rPr>
        <w:t xml:space="preserve">═══════════════════════════════════════════════════════════════════════════════</w:t>
      </w:r>
      <w:r>
        <w:br/>
      </w:r>
      <w:r>
        <w:br/>
      </w:r>
      <w:r>
        <w:rPr>
          <w:rStyle w:val="VerbatimChar"/>
        </w:rPr>
        <w:t xml:space="preserve">    Apache 2.0: ████████████████████████████████████████████████████ 50%</w:t>
      </w:r>
      <w:r>
        <w:br/>
      </w:r>
      <w:r>
        <w:rPr>
          <w:rStyle w:val="VerbatimChar"/>
        </w:rPr>
        <w:t xml:space="preserve">    MIT:        ████████████████████████████ 20%</w:t>
      </w:r>
      <w:r>
        <w:br/>
      </w:r>
      <w:r>
        <w:rPr>
          <w:rStyle w:val="VerbatimChar"/>
        </w:rPr>
        <w:t xml:space="preserve">    NVIDIA:     ██████████████ 10%</w:t>
      </w:r>
      <w:r>
        <w:br/>
      </w:r>
      <w:r>
        <w:rPr>
          <w:rStyle w:val="VerbatimChar"/>
        </w:rPr>
        <w:t xml:space="preserve">    Meta:       ██████████████ 10%</w:t>
      </w:r>
      <w:r>
        <w:br/>
      </w:r>
      <w:r>
        <w:rPr>
          <w:rStyle w:val="VerbatimChar"/>
        </w:rPr>
        <w:t xml:space="preserve">    Academic:   ██████████████ 10%</w:t>
      </w:r>
    </w:p>
    <w:bookmarkEnd w:id="40"/>
    <w:bookmarkEnd w:id="41"/>
    <w:bookmarkStart w:id="45" w:name="strategic-recommendations"/>
    <w:p>
      <w:pPr>
        <w:pStyle w:val="Heading2"/>
      </w:pPr>
      <w:r>
        <w:t xml:space="preserve">5. Strategic Recommendations</w:t>
      </w:r>
    </w:p>
    <w:p>
      <w:pPr>
        <w:pStyle w:val="FirstParagraph"/>
      </w:pPr>
      <w:r>
        <w:t xml:space="preserve">This section provides actionable guidance for different audiences based on the analysis of the top 10 models.</w:t>
      </w:r>
    </w:p>
    <w:bookmarkStart w:id="42" w:name="for-enterprise-adoption"/>
    <w:p>
      <w:pPr>
        <w:pStyle w:val="Heading3"/>
      </w:pPr>
      <w:r>
        <w:t xml:space="preserve">5.1. For Enterprise Adoption</w:t>
      </w:r>
    </w:p>
    <w:p>
      <w:pPr>
        <w:numPr>
          <w:ilvl w:val="0"/>
          <w:numId w:val="1013"/>
        </w:numPr>
        <w:pStyle w:val="Compact"/>
      </w:pPr>
      <w:r>
        <w:rPr>
          <w:bCs/>
          <w:b/>
        </w:rPr>
        <w:t xml:space="preserve">Immediate Deployment Priorities</w:t>
      </w:r>
      <w:r>
        <w:t xml:space="preserve">:</w:t>
      </w:r>
    </w:p>
    <w:p>
      <w:pPr>
        <w:numPr>
          <w:ilvl w:val="1"/>
          <w:numId w:val="1014"/>
        </w:numPr>
        <w:pStyle w:val="Compact"/>
      </w:pPr>
      <w:r>
        <w:t xml:space="preserve">Evaluate</w:t>
      </w:r>
      <w:r>
        <w:t xml:space="preserve"> </w:t>
      </w:r>
      <w:r>
        <w:rPr>
          <w:bCs/>
          <w:b/>
        </w:rPr>
        <w:t xml:space="preserve">MiniMax M2</w:t>
      </w:r>
      <w:r>
        <w:t xml:space="preserve"> </w:t>
      </w:r>
      <w:r>
        <w:t xml:space="preserve">for coding agent workflows requiring stable long-horizon execution.</w:t>
      </w:r>
    </w:p>
    <w:p>
      <w:pPr>
        <w:numPr>
          <w:ilvl w:val="1"/>
          <w:numId w:val="1014"/>
        </w:numPr>
        <w:pStyle w:val="Compact"/>
      </w:pPr>
      <w:r>
        <w:t xml:space="preserve">Implement</w:t>
      </w:r>
      <w:r>
        <w:t xml:space="preserve"> </w:t>
      </w:r>
      <w:r>
        <w:rPr>
          <w:bCs/>
          <w:b/>
        </w:rPr>
        <w:t xml:space="preserve">IBM Granite 4.0-H-Small</w:t>
      </w:r>
      <w:r>
        <w:t xml:space="preserve"> </w:t>
      </w:r>
      <w:r>
        <w:t xml:space="preserve">for memory-constrained long-context applications.</w:t>
      </w:r>
    </w:p>
    <w:p>
      <w:pPr>
        <w:numPr>
          <w:ilvl w:val="1"/>
          <w:numId w:val="1014"/>
        </w:numPr>
        <w:pStyle w:val="Compact"/>
      </w:pPr>
      <w:r>
        <w:t xml:space="preserve">Deploy</w:t>
      </w:r>
      <w:r>
        <w:t xml:space="preserve"> </w:t>
      </w:r>
      <w:r>
        <w:rPr>
          <w:bCs/>
          <w:b/>
        </w:rPr>
        <w:t xml:space="preserve">NVIDIA Nemotron Nano v2 12B VL</w:t>
      </w:r>
      <w:r>
        <w:t xml:space="preserve"> </w:t>
      </w:r>
      <w:r>
        <w:t xml:space="preserve">for document intelligence and multimodal processing.</w:t>
      </w:r>
    </w:p>
    <w:p>
      <w:pPr>
        <w:numPr>
          <w:ilvl w:val="0"/>
          <w:numId w:val="1013"/>
        </w:numPr>
        <w:pStyle w:val="Compact"/>
      </w:pPr>
      <w:r>
        <w:rPr>
          <w:bCs/>
          <w:b/>
        </w:rPr>
        <w:t xml:space="preserve">Edge Computing Strategy</w:t>
      </w:r>
      <w:r>
        <w:t xml:space="preserve">:</w:t>
      </w:r>
    </w:p>
    <w:p>
      <w:pPr>
        <w:numPr>
          <w:ilvl w:val="1"/>
          <w:numId w:val="1015"/>
        </w:numPr>
        <w:pStyle w:val="Compact"/>
      </w:pPr>
      <w:r>
        <w:t xml:space="preserve">Pilot</w:t>
      </w:r>
      <w:r>
        <w:t xml:space="preserve"> </w:t>
      </w:r>
      <w:r>
        <w:rPr>
          <w:bCs/>
          <w:b/>
        </w:rPr>
        <w:t xml:space="preserve">IBM Granite 4.0-H-1B</w:t>
      </w:r>
      <w:r>
        <w:t xml:space="preserve"> </w:t>
      </w:r>
      <w:r>
        <w:t xml:space="preserve">for edge function calling and local reasoning.</w:t>
      </w:r>
    </w:p>
    <w:p>
      <w:pPr>
        <w:numPr>
          <w:ilvl w:val="1"/>
          <w:numId w:val="1015"/>
        </w:numPr>
        <w:pStyle w:val="Compact"/>
      </w:pPr>
      <w:r>
        <w:t xml:space="preserve">Implement</w:t>
      </w:r>
      <w:r>
        <w:t xml:space="preserve"> </w:t>
      </w:r>
      <w:r>
        <w:rPr>
          <w:bCs/>
          <w:b/>
        </w:rPr>
        <w:t xml:space="preserve">MobileLLM-Pro 1B</w:t>
      </w:r>
      <w:r>
        <w:t xml:space="preserve"> </w:t>
      </w:r>
      <w:r>
        <w:t xml:space="preserve">for mobile applications requiring on-device AI.</w:t>
      </w:r>
    </w:p>
    <w:bookmarkEnd w:id="42"/>
    <w:bookmarkStart w:id="43" w:name="for-research-and-development"/>
    <w:p>
      <w:pPr>
        <w:pStyle w:val="Heading3"/>
      </w:pPr>
      <w:r>
        <w:t xml:space="preserve">5.2. For Research and Development</w:t>
      </w:r>
    </w:p>
    <w:p>
      <w:pPr>
        <w:numPr>
          <w:ilvl w:val="0"/>
          <w:numId w:val="1016"/>
        </w:numPr>
        <w:pStyle w:val="Compact"/>
      </w:pPr>
      <w:r>
        <w:rPr>
          <w:bCs/>
          <w:b/>
        </w:rPr>
        <w:t xml:space="preserve">Architectural Innovation Focus</w:t>
      </w:r>
      <w:r>
        <w:t xml:space="preserve">:</w:t>
      </w:r>
    </w:p>
    <w:p>
      <w:pPr>
        <w:numPr>
          <w:ilvl w:val="1"/>
          <w:numId w:val="1017"/>
        </w:numPr>
        <w:pStyle w:val="Compact"/>
      </w:pPr>
      <w:r>
        <w:t xml:space="preserve">Study hybrid Mamba/Transformer designs for future efficiency improvements.</w:t>
      </w:r>
    </w:p>
    <w:p>
      <w:pPr>
        <w:numPr>
          <w:ilvl w:val="1"/>
          <w:numId w:val="1017"/>
        </w:numPr>
        <w:pStyle w:val="Compact"/>
      </w:pPr>
      <w:r>
        <w:t xml:space="preserve">Investigate physics-constrained AI approaches following the</w:t>
      </w:r>
      <w:r>
        <w:t xml:space="preserve"> </w:t>
      </w:r>
      <w:r>
        <w:rPr>
          <w:bCs/>
          <w:b/>
        </w:rPr>
        <w:t xml:space="preserve">NucleusDiff</w:t>
      </w:r>
      <w:r>
        <w:t xml:space="preserve"> </w:t>
      </w:r>
      <w:r>
        <w:t xml:space="preserve">methodology.</w:t>
      </w:r>
    </w:p>
    <w:p>
      <w:pPr>
        <w:numPr>
          <w:ilvl w:val="1"/>
          <w:numId w:val="1017"/>
        </w:numPr>
        <w:pStyle w:val="Compact"/>
      </w:pPr>
      <w:r>
        <w:t xml:space="preserve">Explore MoE architectures for task-specific optimization.</w:t>
      </w:r>
    </w:p>
    <w:p>
      <w:pPr>
        <w:numPr>
          <w:ilvl w:val="0"/>
          <w:numId w:val="1016"/>
        </w:numPr>
        <w:pStyle w:val="Compact"/>
      </w:pPr>
      <w:r>
        <w:rPr>
          <w:bCs/>
          <w:b/>
        </w:rPr>
        <w:t xml:space="preserve">Benchmark and Evaluation</w:t>
      </w:r>
      <w:r>
        <w:t xml:space="preserve">:</w:t>
      </w:r>
    </w:p>
    <w:p>
      <w:pPr>
        <w:numPr>
          <w:ilvl w:val="1"/>
          <w:numId w:val="1018"/>
        </w:numPr>
        <w:pStyle w:val="Compact"/>
      </w:pPr>
      <w:r>
        <w:t xml:space="preserve">Conduct independent replication of reported benchmarks.</w:t>
      </w:r>
    </w:p>
    <w:p>
      <w:pPr>
        <w:numPr>
          <w:ilvl w:val="1"/>
          <w:numId w:val="1018"/>
        </w:numPr>
        <w:pStyle w:val="Compact"/>
      </w:pPr>
      <w:r>
        <w:t xml:space="preserve">Develop standardized evaluation frameworks for agent-native capabilities.</w:t>
      </w:r>
    </w:p>
    <w:bookmarkEnd w:id="43"/>
    <w:bookmarkStart w:id="44" w:name="for-specialized-applications"/>
    <w:p>
      <w:pPr>
        <w:pStyle w:val="Heading3"/>
      </w:pPr>
      <w:r>
        <w:t xml:space="preserve">5.3. For Specialized Applications</w:t>
      </w:r>
    </w:p>
    <w:p>
      <w:pPr>
        <w:numPr>
          <w:ilvl w:val="0"/>
          <w:numId w:val="1019"/>
        </w:numPr>
        <w:pStyle w:val="Compact"/>
      </w:pPr>
      <w:r>
        <w:rPr>
          <w:bCs/>
          <w:b/>
        </w:rPr>
        <w:t xml:space="preserve">Document Processing</w:t>
      </w:r>
      <w:r>
        <w:t xml:space="preserve">:</w:t>
      </w:r>
    </w:p>
    <w:p>
      <w:pPr>
        <w:numPr>
          <w:ilvl w:val="1"/>
          <w:numId w:val="1020"/>
        </w:numPr>
        <w:pStyle w:val="Compact"/>
      </w:pPr>
      <w:r>
        <w:t xml:space="preserve">Implement</w:t>
      </w:r>
      <w:r>
        <w:t xml:space="preserve"> </w:t>
      </w:r>
      <w:r>
        <w:rPr>
          <w:bCs/>
          <w:b/>
        </w:rPr>
        <w:t xml:space="preserve">DeepSeek-OCR</w:t>
      </w:r>
      <w:r>
        <w:t xml:space="preserve"> </w:t>
      </w:r>
      <w:r>
        <w:t xml:space="preserve">for high-volume document digitization.</w:t>
      </w:r>
    </w:p>
    <w:p>
      <w:pPr>
        <w:numPr>
          <w:ilvl w:val="1"/>
          <w:numId w:val="1020"/>
        </w:numPr>
        <w:pStyle w:val="Compact"/>
      </w:pPr>
      <w:r>
        <w:t xml:space="preserve">Deploy</w:t>
      </w:r>
      <w:r>
        <w:t xml:space="preserve"> </w:t>
      </w:r>
      <w:r>
        <w:rPr>
          <w:bCs/>
          <w:b/>
        </w:rPr>
        <w:t xml:space="preserve">NVIDIA Nemotron</w:t>
      </w:r>
      <w:r>
        <w:t xml:space="preserve"> </w:t>
      </w:r>
      <w:r>
        <w:t xml:space="preserve">for complex multimodal document understanding.</w:t>
      </w:r>
    </w:p>
    <w:p>
      <w:pPr>
        <w:numPr>
          <w:ilvl w:val="0"/>
          <w:numId w:val="1019"/>
        </w:numPr>
        <w:pStyle w:val="Compact"/>
      </w:pPr>
      <w:r>
        <w:rPr>
          <w:bCs/>
          <w:b/>
        </w:rPr>
        <w:t xml:space="preserve">Video and Media Processing</w:t>
      </w:r>
      <w:r>
        <w:t xml:space="preserve">:</w:t>
      </w:r>
    </w:p>
    <w:p>
      <w:pPr>
        <w:numPr>
          <w:ilvl w:val="1"/>
          <w:numId w:val="1021"/>
        </w:numPr>
        <w:pStyle w:val="Compact"/>
      </w:pPr>
      <w:r>
        <w:t xml:space="preserve">Adopt</w:t>
      </w:r>
      <w:r>
        <w:t xml:space="preserve"> </w:t>
      </w:r>
      <w:r>
        <w:rPr>
          <w:bCs/>
          <w:b/>
        </w:rPr>
        <w:t xml:space="preserve">FlashVSR</w:t>
      </w:r>
      <w:r>
        <w:t xml:space="preserve"> </w:t>
      </w:r>
      <w:r>
        <w:t xml:space="preserve">for real-time video enhancement workflows.</w:t>
      </w:r>
    </w:p>
    <w:bookmarkEnd w:id="44"/>
    <w:bookmarkEnd w:id="45"/>
    <w:bookmarkStart w:id="46" w:name="future-outlook"/>
    <w:p>
      <w:pPr>
        <w:pStyle w:val="Heading2"/>
      </w:pPr>
      <w:r>
        <w:t xml:space="preserve">6. Future Outlook</w:t>
      </w:r>
    </w:p>
    <w:p>
      <w:pPr>
        <w:pStyle w:val="FirstParagraph"/>
      </w:pPr>
      <w:r>
        <w:t xml:space="preserve">The releases of October 2025 provide a clear roadmap for the future of open-source AI. We can expect to see a continued focus on architectural innovation, with a move away from monolithic, dense models towards more specialized and efficient designs. The maturation of multimodal capabilities will open up new applications and use cases, particularly in the enterprise. And the trend towards permissive licensing will continue to fuel innovation and adoption.</w:t>
      </w:r>
    </w:p>
    <w:p>
      <w:pPr>
        <w:pStyle w:val="BodyText"/>
      </w:pPr>
      <w:r>
        <w:t xml:space="preserve">The key takeaway for all stakeholders is that the open-source AI ecosystem is no longer just a playground for researchers. It is a vibrant and rapidly evolving landscape that is producing production-ready models capable of delivering real-world value. Organizations that strategically embrace these developments will be well-positioned to gain a competitive advantage in the years to come.</w:t>
      </w:r>
    </w:p>
    <w:bookmarkEnd w:id="46"/>
    <w:bookmarkStart w:id="49" w:name="technical-appendix"/>
    <w:p>
      <w:pPr>
        <w:pStyle w:val="Heading2"/>
      </w:pPr>
      <w:r>
        <w:t xml:space="preserve">7. Technical Appendix</w:t>
      </w:r>
    </w:p>
    <w:p>
      <w:pPr>
        <w:pStyle w:val="FirstParagraph"/>
      </w:pPr>
      <w:r>
        <w:t xml:space="preserve">This section provides a more detailed technical overview of the top 10 models, including key specifications and benchmark results.</w:t>
      </w:r>
    </w:p>
    <w:bookmarkStart w:id="47" w:name="detailed-specifications"/>
    <w:p>
      <w:pPr>
        <w:pStyle w:val="Heading3"/>
      </w:pPr>
      <w:r>
        <w:t xml:space="preserve">7.1. Detailed Specifications</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Rank</w:t>
            </w:r>
          </w:p>
        </w:tc>
        <w:tc>
          <w:tcPr/>
          <w:p>
            <w:pPr>
              <w:pStyle w:val="Compact"/>
              <w:jc w:val="left"/>
            </w:pPr>
            <w:r>
              <w:t xml:space="preserve">Model Name</w:t>
            </w:r>
          </w:p>
        </w:tc>
        <w:tc>
          <w:tcPr/>
          <w:p>
            <w:pPr>
              <w:pStyle w:val="Compact"/>
              <w:jc w:val="left"/>
            </w:pPr>
            <w:r>
              <w:t xml:space="preserve">Parameters (Total/Active)</w:t>
            </w:r>
          </w:p>
        </w:tc>
        <w:tc>
          <w:tcPr/>
          <w:p>
            <w:pPr>
              <w:pStyle w:val="Compact"/>
              <w:jc w:val="left"/>
            </w:pPr>
            <w:r>
              <w:t xml:space="preserve">License</w:t>
            </w:r>
          </w:p>
        </w:tc>
        <w:tc>
          <w:tcPr/>
          <w:p>
            <w:pPr>
              <w:pStyle w:val="Compact"/>
              <w:jc w:val="left"/>
            </w:pPr>
            <w:r>
              <w:t xml:space="preserve">Architecture</w:t>
            </w:r>
          </w:p>
        </w:tc>
        <w:tc>
          <w:tcPr/>
          <w:p>
            <w:pPr>
              <w:pStyle w:val="Compact"/>
              <w:jc w:val="left"/>
            </w:pPr>
            <w:r>
              <w:t xml:space="preserve">Organization</w:t>
            </w:r>
          </w:p>
        </w:tc>
        <w:tc>
          <w:tcPr/>
          <w:p>
            <w:pPr>
              <w:pStyle w:val="Compact"/>
              <w:jc w:val="left"/>
            </w:pPr>
            <w:r>
              <w:t xml:space="preserve">Release Date</w:t>
            </w:r>
          </w:p>
        </w:tc>
      </w:tr>
      <w:tr>
        <w:tc>
          <w:tcPr/>
          <w:p>
            <w:pPr>
              <w:pStyle w:val="Compact"/>
              <w:jc w:val="left"/>
            </w:pPr>
            <w:r>
              <w:t xml:space="preserve">1</w:t>
            </w:r>
          </w:p>
        </w:tc>
        <w:tc>
          <w:tcPr/>
          <w:p>
            <w:pPr>
              <w:pStyle w:val="Compact"/>
              <w:jc w:val="left"/>
            </w:pPr>
            <w:r>
              <w:t xml:space="preserve">MiniMax M2</w:t>
            </w:r>
          </w:p>
        </w:tc>
        <w:tc>
          <w:tcPr/>
          <w:p>
            <w:pPr>
              <w:pStyle w:val="Compact"/>
              <w:jc w:val="left"/>
            </w:pPr>
            <w:r>
              <w:t xml:space="preserve">230B/10B (MoE)</w:t>
            </w:r>
          </w:p>
        </w:tc>
        <w:tc>
          <w:tcPr/>
          <w:p>
            <w:pPr>
              <w:pStyle w:val="Compact"/>
              <w:jc w:val="left"/>
            </w:pPr>
            <w:r>
              <w:t xml:space="preserve">MIT</w:t>
            </w:r>
          </w:p>
        </w:tc>
        <w:tc>
          <w:tcPr/>
          <w:p>
            <w:pPr>
              <w:pStyle w:val="Compact"/>
              <w:jc w:val="left"/>
            </w:pPr>
            <w:r>
              <w:t xml:space="preserve">Agent-native MoE</w:t>
            </w:r>
          </w:p>
        </w:tc>
        <w:tc>
          <w:tcPr/>
          <w:p>
            <w:pPr>
              <w:pStyle w:val="Compact"/>
              <w:jc w:val="left"/>
            </w:pPr>
            <w:r>
              <w:t xml:space="preserve">MiniMax</w:t>
            </w:r>
          </w:p>
        </w:tc>
        <w:tc>
          <w:tcPr/>
          <w:p>
            <w:pPr>
              <w:pStyle w:val="Compact"/>
              <w:jc w:val="left"/>
            </w:pPr>
            <w:r>
              <w:t xml:space="preserve">2025-10-27</w:t>
            </w:r>
          </w:p>
        </w:tc>
      </w:tr>
      <w:tr>
        <w:tc>
          <w:tcPr/>
          <w:p>
            <w:pPr>
              <w:pStyle w:val="Compact"/>
              <w:jc w:val="left"/>
            </w:pPr>
            <w:r>
              <w:t xml:space="preserve">2</w:t>
            </w:r>
          </w:p>
        </w:tc>
        <w:tc>
          <w:tcPr/>
          <w:p>
            <w:pPr>
              <w:pStyle w:val="Compact"/>
              <w:jc w:val="left"/>
            </w:pPr>
            <w:r>
              <w:t xml:space="preserve">IBM Granite 4.0-H-Small</w:t>
            </w:r>
          </w:p>
        </w:tc>
        <w:tc>
          <w:tcPr/>
          <w:p>
            <w:pPr>
              <w:pStyle w:val="Compact"/>
              <w:jc w:val="left"/>
            </w:pPr>
            <w:r>
              <w:t xml:space="preserve">32B/9B (MoE)</w:t>
            </w:r>
          </w:p>
        </w:tc>
        <w:tc>
          <w:tcPr/>
          <w:p>
            <w:pPr>
              <w:pStyle w:val="Compact"/>
              <w:jc w:val="left"/>
            </w:pPr>
            <w:r>
              <w:t xml:space="preserve">Apache 2.0</w:t>
            </w:r>
          </w:p>
        </w:tc>
        <w:tc>
          <w:tcPr/>
          <w:p>
            <w:pPr>
              <w:pStyle w:val="Compact"/>
              <w:jc w:val="left"/>
            </w:pPr>
            <w:r>
              <w:t xml:space="preserve">Hybrid Mamba/Transformer MoE</w:t>
            </w:r>
          </w:p>
        </w:tc>
        <w:tc>
          <w:tcPr/>
          <w:p>
            <w:pPr>
              <w:pStyle w:val="Compact"/>
              <w:jc w:val="left"/>
            </w:pPr>
            <w:r>
              <w:t xml:space="preserve">IBM</w:t>
            </w:r>
          </w:p>
        </w:tc>
        <w:tc>
          <w:tcPr/>
          <w:p>
            <w:pPr>
              <w:pStyle w:val="Compact"/>
              <w:jc w:val="left"/>
            </w:pPr>
            <w:r>
              <w:t xml:space="preserve">2025-10-02</w:t>
            </w:r>
          </w:p>
        </w:tc>
      </w:tr>
      <w:tr>
        <w:tc>
          <w:tcPr/>
          <w:p>
            <w:pPr>
              <w:pStyle w:val="Compact"/>
              <w:jc w:val="left"/>
            </w:pPr>
            <w:r>
              <w:t xml:space="preserve">3</w:t>
            </w:r>
          </w:p>
        </w:tc>
        <w:tc>
          <w:tcPr/>
          <w:p>
            <w:pPr>
              <w:pStyle w:val="Compact"/>
              <w:jc w:val="left"/>
            </w:pPr>
            <w:r>
              <w:t xml:space="preserve">IBM Granite 4.0-H-1B</w:t>
            </w:r>
          </w:p>
        </w:tc>
        <w:tc>
          <w:tcPr/>
          <w:p>
            <w:pPr>
              <w:pStyle w:val="Compact"/>
              <w:jc w:val="left"/>
            </w:pPr>
            <w:r>
              <w:t xml:space="preserve">1.5B</w:t>
            </w:r>
          </w:p>
        </w:tc>
        <w:tc>
          <w:tcPr/>
          <w:p>
            <w:pPr>
              <w:pStyle w:val="Compact"/>
              <w:jc w:val="left"/>
            </w:pPr>
            <w:r>
              <w:t xml:space="preserve">Apache 2.0</w:t>
            </w:r>
          </w:p>
        </w:tc>
        <w:tc>
          <w:tcPr/>
          <w:p>
            <w:pPr>
              <w:pStyle w:val="Compact"/>
              <w:jc w:val="left"/>
            </w:pPr>
            <w:r>
              <w:t xml:space="preserve">Hybrid Dense</w:t>
            </w:r>
          </w:p>
        </w:tc>
        <w:tc>
          <w:tcPr/>
          <w:p>
            <w:pPr>
              <w:pStyle w:val="Compact"/>
              <w:jc w:val="left"/>
            </w:pPr>
            <w:r>
              <w:t xml:space="preserve">IBM</w:t>
            </w:r>
          </w:p>
        </w:tc>
        <w:tc>
          <w:tcPr/>
          <w:p>
            <w:pPr>
              <w:pStyle w:val="Compact"/>
              <w:jc w:val="left"/>
            </w:pPr>
            <w:r>
              <w:t xml:space="preserve">2025-10-28</w:t>
            </w:r>
          </w:p>
        </w:tc>
      </w:tr>
      <w:tr>
        <w:tc>
          <w:tcPr/>
          <w:p>
            <w:pPr>
              <w:pStyle w:val="Compact"/>
              <w:jc w:val="left"/>
            </w:pPr>
            <w:r>
              <w:t xml:space="preserve">4</w:t>
            </w:r>
          </w:p>
        </w:tc>
        <w:tc>
          <w:tcPr/>
          <w:p>
            <w:pPr>
              <w:pStyle w:val="Compact"/>
              <w:jc w:val="left"/>
            </w:pPr>
            <w:r>
              <w:t xml:space="preserve">NVIDIA Nemotron Nano v2 12B VL</w:t>
            </w:r>
          </w:p>
        </w:tc>
        <w:tc>
          <w:tcPr/>
          <w:p>
            <w:pPr>
              <w:pStyle w:val="Compact"/>
              <w:jc w:val="left"/>
            </w:pPr>
            <w:r>
              <w:t xml:space="preserve">12.6B</w:t>
            </w:r>
          </w:p>
        </w:tc>
        <w:tc>
          <w:tcPr/>
          <w:p>
            <w:pPr>
              <w:pStyle w:val="Compact"/>
              <w:jc w:val="left"/>
            </w:pPr>
            <w:r>
              <w:t xml:space="preserve">NVIDIA Open</w:t>
            </w:r>
          </w:p>
        </w:tc>
        <w:tc>
          <w:tcPr/>
          <w:p>
            <w:pPr>
              <w:pStyle w:val="Compact"/>
              <w:jc w:val="left"/>
            </w:pPr>
            <w:r>
              <w:t xml:space="preserve">Dense VLM</w:t>
            </w:r>
          </w:p>
        </w:tc>
        <w:tc>
          <w:tcPr/>
          <w:p>
            <w:pPr>
              <w:pStyle w:val="Compact"/>
              <w:jc w:val="left"/>
            </w:pPr>
            <w:r>
              <w:t xml:space="preserve">NVIDIA</w:t>
            </w:r>
          </w:p>
        </w:tc>
        <w:tc>
          <w:tcPr/>
          <w:p>
            <w:pPr>
              <w:pStyle w:val="Compact"/>
              <w:jc w:val="left"/>
            </w:pPr>
            <w:r>
              <w:t xml:space="preserve">2025-10-28</w:t>
            </w:r>
          </w:p>
        </w:tc>
      </w:tr>
      <w:tr>
        <w:tc>
          <w:tcPr/>
          <w:p>
            <w:pPr>
              <w:pStyle w:val="Compact"/>
              <w:jc w:val="left"/>
            </w:pPr>
            <w:r>
              <w:t xml:space="preserve">5</w:t>
            </w:r>
          </w:p>
        </w:tc>
        <w:tc>
          <w:tcPr/>
          <w:p>
            <w:pPr>
              <w:pStyle w:val="Compact"/>
              <w:jc w:val="left"/>
            </w:pPr>
            <w:r>
              <w:t xml:space="preserve">Qwen3-VL-32B</w:t>
            </w:r>
          </w:p>
        </w:tc>
        <w:tc>
          <w:tcPr/>
          <w:p>
            <w:pPr>
              <w:pStyle w:val="Compact"/>
              <w:jc w:val="left"/>
            </w:pPr>
            <w:r>
              <w:t xml:space="preserve">32B</w:t>
            </w:r>
          </w:p>
        </w:tc>
        <w:tc>
          <w:tcPr/>
          <w:p>
            <w:pPr>
              <w:pStyle w:val="Compact"/>
              <w:jc w:val="left"/>
            </w:pPr>
            <w:r>
              <w:t xml:space="preserve">Apache 2.0</w:t>
            </w:r>
          </w:p>
        </w:tc>
        <w:tc>
          <w:tcPr/>
          <w:p>
            <w:pPr>
              <w:pStyle w:val="Compact"/>
              <w:jc w:val="left"/>
            </w:pPr>
            <w:r>
              <w:t xml:space="preserve">Dense VLM</w:t>
            </w:r>
          </w:p>
        </w:tc>
        <w:tc>
          <w:tcPr/>
          <w:p>
            <w:pPr>
              <w:pStyle w:val="Compact"/>
              <w:jc w:val="left"/>
            </w:pPr>
            <w:r>
              <w:t xml:space="preserve">Alibaba</w:t>
            </w:r>
          </w:p>
        </w:tc>
        <w:tc>
          <w:tcPr/>
          <w:p>
            <w:pPr>
              <w:pStyle w:val="Compact"/>
              <w:jc w:val="left"/>
            </w:pPr>
            <w:r>
              <w:t xml:space="preserve">2025-10-22</w:t>
            </w:r>
          </w:p>
        </w:tc>
      </w:tr>
      <w:tr>
        <w:tc>
          <w:tcPr/>
          <w:p>
            <w:pPr>
              <w:pStyle w:val="Compact"/>
              <w:jc w:val="left"/>
            </w:pPr>
            <w:r>
              <w:t xml:space="preserve">6</w:t>
            </w:r>
          </w:p>
        </w:tc>
        <w:tc>
          <w:tcPr/>
          <w:p>
            <w:pPr>
              <w:pStyle w:val="Compact"/>
              <w:jc w:val="left"/>
            </w:pPr>
            <w:r>
              <w:t xml:space="preserve">FlashVSR</w:t>
            </w:r>
          </w:p>
        </w:tc>
        <w:tc>
          <w:tcPr/>
          <w:p>
            <w:pPr>
              <w:pStyle w:val="Compact"/>
              <w:jc w:val="left"/>
            </w:pPr>
            <w:r>
              <w:t xml:space="preserve">N/A</w:t>
            </w:r>
          </w:p>
        </w:tc>
        <w:tc>
          <w:tcPr/>
          <w:p>
            <w:pPr>
              <w:pStyle w:val="Compact"/>
              <w:jc w:val="left"/>
            </w:pPr>
            <w:r>
              <w:t xml:space="preserve">Apache 2.0</w:t>
            </w:r>
          </w:p>
        </w:tc>
        <w:tc>
          <w:tcPr/>
          <w:p>
            <w:pPr>
              <w:pStyle w:val="Compact"/>
              <w:jc w:val="left"/>
            </w:pPr>
            <w:r>
              <w:t xml:space="preserve">One-step Diffusion</w:t>
            </w:r>
          </w:p>
        </w:tc>
        <w:tc>
          <w:tcPr/>
          <w:p>
            <w:pPr>
              <w:pStyle w:val="Compact"/>
              <w:jc w:val="left"/>
            </w:pPr>
            <w:r>
              <w:t xml:space="preserve">OpenImagingLab</w:t>
            </w:r>
          </w:p>
        </w:tc>
        <w:tc>
          <w:tcPr/>
          <w:p>
            <w:pPr>
              <w:pStyle w:val="Compact"/>
              <w:jc w:val="left"/>
            </w:pPr>
            <w:r>
              <w:t xml:space="preserve">2025-10-02</w:t>
            </w:r>
          </w:p>
        </w:tc>
      </w:tr>
      <w:tr>
        <w:tc>
          <w:tcPr/>
          <w:p>
            <w:pPr>
              <w:pStyle w:val="Compact"/>
              <w:jc w:val="left"/>
            </w:pPr>
            <w:r>
              <w:t xml:space="preserve">7</w:t>
            </w:r>
          </w:p>
        </w:tc>
        <w:tc>
          <w:tcPr/>
          <w:p>
            <w:pPr>
              <w:pStyle w:val="Compact"/>
              <w:jc w:val="left"/>
            </w:pPr>
            <w:r>
              <w:t xml:space="preserve">MobileLLM-Pro 1B</w:t>
            </w:r>
          </w:p>
        </w:tc>
        <w:tc>
          <w:tcPr/>
          <w:p>
            <w:pPr>
              <w:pStyle w:val="Compact"/>
              <w:jc w:val="left"/>
            </w:pPr>
            <w:r>
              <w:t xml:space="preserve">1B</w:t>
            </w:r>
          </w:p>
        </w:tc>
        <w:tc>
          <w:tcPr/>
          <w:p>
            <w:pPr>
              <w:pStyle w:val="Compact"/>
              <w:jc w:val="left"/>
            </w:pPr>
            <w:r>
              <w:t xml:space="preserve">Meta Open-weight</w:t>
            </w:r>
          </w:p>
        </w:tc>
        <w:tc>
          <w:tcPr/>
          <w:p>
            <w:pPr>
              <w:pStyle w:val="Compact"/>
              <w:jc w:val="left"/>
            </w:pPr>
            <w:r>
              <w:t xml:space="preserve">Dense Transformer</w:t>
            </w:r>
          </w:p>
        </w:tc>
        <w:tc>
          <w:tcPr/>
          <w:p>
            <w:pPr>
              <w:pStyle w:val="Compact"/>
              <w:jc w:val="left"/>
            </w:pPr>
            <w:r>
              <w:t xml:space="preserve">Meta</w:t>
            </w:r>
          </w:p>
        </w:tc>
        <w:tc>
          <w:tcPr/>
          <w:p>
            <w:pPr>
              <w:pStyle w:val="Compact"/>
              <w:jc w:val="left"/>
            </w:pPr>
            <w:r>
              <w:t xml:space="preserve">2025-10-01</w:t>
            </w:r>
          </w:p>
        </w:tc>
      </w:tr>
      <w:tr>
        <w:tc>
          <w:tcPr/>
          <w:p>
            <w:pPr>
              <w:pStyle w:val="Compact"/>
              <w:jc w:val="left"/>
            </w:pPr>
            <w:r>
              <w:t xml:space="preserve">8</w:t>
            </w:r>
          </w:p>
        </w:tc>
        <w:tc>
          <w:tcPr/>
          <w:p>
            <w:pPr>
              <w:pStyle w:val="Compact"/>
              <w:jc w:val="left"/>
            </w:pPr>
            <w:r>
              <w:t xml:space="preserve">Qwen3-VL-2B</w:t>
            </w:r>
          </w:p>
        </w:tc>
        <w:tc>
          <w:tcPr/>
          <w:p>
            <w:pPr>
              <w:pStyle w:val="Compact"/>
              <w:jc w:val="left"/>
            </w:pPr>
            <w:r>
              <w:t xml:space="preserve">2B</w:t>
            </w:r>
          </w:p>
        </w:tc>
        <w:tc>
          <w:tcPr/>
          <w:p>
            <w:pPr>
              <w:pStyle w:val="Compact"/>
              <w:jc w:val="left"/>
            </w:pPr>
            <w:r>
              <w:t xml:space="preserve">Apache 2.0</w:t>
            </w:r>
          </w:p>
        </w:tc>
        <w:tc>
          <w:tcPr/>
          <w:p>
            <w:pPr>
              <w:pStyle w:val="Compact"/>
              <w:jc w:val="left"/>
            </w:pPr>
            <w:r>
              <w:t xml:space="preserve">Dense VLM</w:t>
            </w:r>
          </w:p>
        </w:tc>
        <w:tc>
          <w:tcPr/>
          <w:p>
            <w:pPr>
              <w:pStyle w:val="Compact"/>
              <w:jc w:val="left"/>
            </w:pPr>
            <w:r>
              <w:t xml:space="preserve">Alibaba</w:t>
            </w:r>
          </w:p>
        </w:tc>
        <w:tc>
          <w:tcPr/>
          <w:p>
            <w:pPr>
              <w:pStyle w:val="Compact"/>
              <w:jc w:val="left"/>
            </w:pPr>
            <w:r>
              <w:t xml:space="preserve">2025-10-22</w:t>
            </w:r>
          </w:p>
        </w:tc>
      </w:tr>
      <w:tr>
        <w:tc>
          <w:tcPr/>
          <w:p>
            <w:pPr>
              <w:pStyle w:val="Compact"/>
              <w:jc w:val="left"/>
            </w:pPr>
            <w:r>
              <w:t xml:space="preserve">9</w:t>
            </w:r>
          </w:p>
        </w:tc>
        <w:tc>
          <w:tcPr/>
          <w:p>
            <w:pPr>
              <w:pStyle w:val="Compact"/>
              <w:jc w:val="left"/>
            </w:pPr>
            <w:r>
              <w:t xml:space="preserve">DeepSeek-OCR</w:t>
            </w:r>
          </w:p>
        </w:tc>
        <w:tc>
          <w:tcPr/>
          <w:p>
            <w:pPr>
              <w:pStyle w:val="Compact"/>
              <w:jc w:val="left"/>
            </w:pPr>
            <w:r>
              <w:t xml:space="preserve">3B</w:t>
            </w:r>
          </w:p>
        </w:tc>
        <w:tc>
          <w:tcPr/>
          <w:p>
            <w:pPr>
              <w:pStyle w:val="Compact"/>
              <w:jc w:val="left"/>
            </w:pPr>
            <w:r>
              <w:t xml:space="preserve">MIT</w:t>
            </w:r>
          </w:p>
        </w:tc>
        <w:tc>
          <w:tcPr/>
          <w:p>
            <w:pPr>
              <w:pStyle w:val="Compact"/>
              <w:jc w:val="left"/>
            </w:pPr>
            <w:r>
              <w:t xml:space="preserve">VLM with compression</w:t>
            </w:r>
          </w:p>
        </w:tc>
        <w:tc>
          <w:tcPr/>
          <w:p>
            <w:pPr>
              <w:pStyle w:val="Compact"/>
              <w:jc w:val="left"/>
            </w:pPr>
            <w:r>
              <w:t xml:space="preserve">DeepSeek</w:t>
            </w:r>
          </w:p>
        </w:tc>
        <w:tc>
          <w:tcPr/>
          <w:p>
            <w:pPr>
              <w:pStyle w:val="Compact"/>
              <w:jc w:val="left"/>
            </w:pPr>
            <w:r>
              <w:t xml:space="preserve">2025-10-01</w:t>
            </w:r>
          </w:p>
        </w:tc>
      </w:tr>
      <w:tr>
        <w:tc>
          <w:tcPr/>
          <w:p>
            <w:pPr>
              <w:pStyle w:val="Compact"/>
              <w:jc w:val="left"/>
            </w:pPr>
            <w:r>
              <w:t xml:space="preserve">10</w:t>
            </w:r>
          </w:p>
        </w:tc>
        <w:tc>
          <w:tcPr/>
          <w:p>
            <w:pPr>
              <w:pStyle w:val="Compact"/>
              <w:jc w:val="left"/>
            </w:pPr>
            <w:r>
              <w:t xml:space="preserve">NucleusDiff</w:t>
            </w:r>
          </w:p>
        </w:tc>
        <w:tc>
          <w:tcPr/>
          <w:p>
            <w:pPr>
              <w:pStyle w:val="Compact"/>
              <w:jc w:val="left"/>
            </w:pPr>
            <w:r>
              <w:t xml:space="preserve">N/A</w:t>
            </w:r>
          </w:p>
        </w:tc>
        <w:tc>
          <w:tcPr/>
          <w:p>
            <w:pPr>
              <w:pStyle w:val="Compact"/>
              <w:jc w:val="left"/>
            </w:pPr>
            <w:r>
              <w:t xml:space="preserve">Academic</w:t>
            </w:r>
          </w:p>
        </w:tc>
        <w:tc>
          <w:tcPr/>
          <w:p>
            <w:pPr>
              <w:pStyle w:val="Compact"/>
              <w:jc w:val="left"/>
            </w:pPr>
            <w:r>
              <w:t xml:space="preserve">Physics-constrained Diffusion</w:t>
            </w:r>
          </w:p>
        </w:tc>
        <w:tc>
          <w:tcPr/>
          <w:p>
            <w:pPr>
              <w:pStyle w:val="Compact"/>
              <w:jc w:val="left"/>
            </w:pPr>
            <w:r>
              <w:t xml:space="preserve">Caltech</w:t>
            </w:r>
          </w:p>
        </w:tc>
        <w:tc>
          <w:tcPr/>
          <w:p>
            <w:pPr>
              <w:pStyle w:val="Compact"/>
              <w:jc w:val="left"/>
            </w:pPr>
            <w:r>
              <w:t xml:space="preserve">2025-10-20</w:t>
            </w:r>
          </w:p>
        </w:tc>
      </w:tr>
    </w:tbl>
    <w:bookmarkEnd w:id="47"/>
    <w:bookmarkStart w:id="48" w:name="key-benchmark-comparisons"/>
    <w:p>
      <w:pPr>
        <w:pStyle w:val="Heading3"/>
      </w:pPr>
      <w:r>
        <w:t xml:space="preserve">7.2. Key Benchmark Comparisons</w:t>
      </w:r>
    </w:p>
    <w:p>
      <w:pPr>
        <w:pStyle w:val="FirstParagraph"/>
      </w:pPr>
      <w:r>
        <w:rPr>
          <w:bCs/>
          <w:b/>
        </w:rPr>
        <w:t xml:space="preserve">Code Generation Performance (HumanEval)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Model</w:t>
            </w:r>
          </w:p>
        </w:tc>
        <w:tc>
          <w:tcPr/>
          <w:p>
            <w:pPr>
              <w:pStyle w:val="Compact"/>
              <w:jc w:val="left"/>
            </w:pPr>
            <w:r>
              <w:t xml:space="preserve">HumanEval Score</w:t>
            </w:r>
          </w:p>
        </w:tc>
      </w:tr>
      <w:tr>
        <w:tc>
          <w:tcPr/>
          <w:p>
            <w:pPr>
              <w:pStyle w:val="Compact"/>
              <w:jc w:val="left"/>
            </w:pPr>
            <w:r>
              <w:t xml:space="preserve">IBM Granite 4.0-H-1B</w:t>
            </w:r>
          </w:p>
        </w:tc>
        <w:tc>
          <w:tcPr/>
          <w:p>
            <w:pPr>
              <w:pStyle w:val="Compact"/>
              <w:jc w:val="left"/>
            </w:pPr>
            <w:r>
              <w:t xml:space="preserve">73.0%</w:t>
            </w:r>
          </w:p>
        </w:tc>
      </w:tr>
      <w:tr>
        <w:tc>
          <w:tcPr/>
          <w:p>
            <w:pPr>
              <w:pStyle w:val="Compact"/>
              <w:jc w:val="left"/>
            </w:pPr>
            <w:r>
              <w:t xml:space="preserve">MiniMax M2</w:t>
            </w:r>
          </w:p>
        </w:tc>
        <w:tc>
          <w:tcPr/>
          <w:p>
            <w:pPr>
              <w:pStyle w:val="Compact"/>
              <w:jc w:val="left"/>
            </w:pPr>
            <w:r>
              <w:t xml:space="preserve">69.4%</w:t>
            </w:r>
          </w:p>
        </w:tc>
      </w:tr>
      <w:tr>
        <w:tc>
          <w:tcPr/>
          <w:p>
            <w:pPr>
              <w:pStyle w:val="Compact"/>
              <w:jc w:val="left"/>
            </w:pPr>
            <w:r>
              <w:t xml:space="preserve">MobileLLM-Pro 1B</w:t>
            </w:r>
          </w:p>
        </w:tc>
        <w:tc>
          <w:tcPr/>
          <w:p>
            <w:pPr>
              <w:pStyle w:val="Compact"/>
              <w:jc w:val="left"/>
            </w:pPr>
            <w:r>
              <w:t xml:space="preserve">59.8%</w:t>
            </w:r>
          </w:p>
        </w:tc>
      </w:tr>
    </w:tbl>
    <w:p>
      <w:pPr>
        <w:pStyle w:val="BodyText"/>
      </w:pPr>
      <w:r>
        <w:rPr>
          <w:bCs/>
          <w:b/>
        </w:rPr>
        <w:t xml:space="preserve">Document Intelligence Performance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DocVQA Score</w:t>
            </w:r>
          </w:p>
        </w:tc>
        <w:tc>
          <w:tcPr/>
          <w:p>
            <w:pPr>
              <w:pStyle w:val="Compact"/>
              <w:jc w:val="left"/>
            </w:pPr>
            <w:r>
              <w:t xml:space="preserve">ChartQA Score</w:t>
            </w:r>
          </w:p>
        </w:tc>
        <w:tc>
          <w:tcPr/>
          <w:p>
            <w:pPr>
              <w:pStyle w:val="Compact"/>
              <w:jc w:val="left"/>
            </w:pPr>
            <w:r>
              <w:t xml:space="preserve">OCRBench Score</w:t>
            </w:r>
          </w:p>
        </w:tc>
      </w:tr>
      <w:tr>
        <w:tc>
          <w:tcPr/>
          <w:p>
            <w:pPr>
              <w:pStyle w:val="Compact"/>
              <w:jc w:val="left"/>
            </w:pPr>
            <w:r>
              <w:t xml:space="preserve">NVIDIA Nemotron</w:t>
            </w:r>
          </w:p>
        </w:tc>
        <w:tc>
          <w:tcPr/>
          <w:p>
            <w:pPr>
              <w:pStyle w:val="Compact"/>
              <w:jc w:val="left"/>
            </w:pPr>
            <w:r>
              <w:t xml:space="preserve">94.39%</w:t>
            </w:r>
          </w:p>
        </w:tc>
        <w:tc>
          <w:tcPr/>
          <w:p>
            <w:pPr>
              <w:pStyle w:val="Compact"/>
              <w:jc w:val="left"/>
            </w:pPr>
            <w:r>
              <w:t xml:space="preserve">89.72%</w:t>
            </w:r>
          </w:p>
        </w:tc>
        <w:tc>
          <w:tcPr/>
          <w:p>
            <w:pPr>
              <w:pStyle w:val="Compact"/>
              <w:jc w:val="left"/>
            </w:pPr>
            <w:r>
              <w:t xml:space="preserve">85.6%</w:t>
            </w:r>
          </w:p>
        </w:tc>
      </w:tr>
      <w:tr>
        <w:tc>
          <w:tcPr/>
          <w:p>
            <w:pPr>
              <w:pStyle w:val="Compact"/>
              <w:jc w:val="left"/>
            </w:pPr>
            <w:r>
              <w:t xml:space="preserve">DeepSeek-OCR</w:t>
            </w:r>
          </w:p>
        </w:tc>
        <w:tc>
          <w:tcPr/>
          <w:p>
            <w:pPr>
              <w:pStyle w:val="Compact"/>
              <w:jc w:val="left"/>
            </w:pPr>
            <w:r>
              <w:t xml:space="preserve">High throughput</w:t>
            </w:r>
          </w:p>
        </w:tc>
        <w:tc>
          <w:tcPr/>
          <w:p>
            <w:pPr>
              <w:pStyle w:val="Compact"/>
              <w:jc w:val="left"/>
            </w:pPr>
            <w:r>
              <w:t xml:space="preserve">N/A</w:t>
            </w:r>
          </w:p>
        </w:tc>
        <w:tc>
          <w:tcPr/>
          <w:p>
            <w:pPr>
              <w:pStyle w:val="Compact"/>
              <w:jc w:val="left"/>
            </w:pPr>
            <w:r>
              <w:t xml:space="preserve">Specialized</w:t>
            </w:r>
          </w:p>
        </w:tc>
      </w:tr>
    </w:tbl>
    <w:bookmarkEnd w:id="48"/>
    <w:bookmarkEnd w:id="49"/>
    <w:bookmarkStart w:id="76" w:name="sources"/>
    <w:p>
      <w:pPr>
        <w:pStyle w:val="Heading2"/>
      </w:pPr>
      <w:r>
        <w:t xml:space="preserve">8. Sources</w:t>
      </w:r>
    </w:p>
    <w:p>
      <w:pPr>
        <w:pStyle w:val="FirstParagraph"/>
      </w:pPr>
      <w:r>
        <w:t xml:space="preserve">This report is based on the following sources:</w:t>
      </w:r>
    </w:p>
    <w:p>
      <w:pPr>
        <w:numPr>
          <w:ilvl w:val="0"/>
          <w:numId w:val="1022"/>
        </w:numPr>
        <w:pStyle w:val="Compact"/>
      </w:pPr>
      <w:r>
        <w:t xml:space="preserve">[1]</w:t>
      </w:r>
      <w:r>
        <w:t xml:space="preserve"> </w:t>
      </w:r>
      <w:hyperlink r:id="rId50">
        <w:r>
          <w:rPr>
            <w:rStyle w:val="Hyperlink"/>
          </w:rPr>
          <w:t xml:space="preserve">Ming-flash-omni-Preview Model</w:t>
        </w:r>
      </w:hyperlink>
      <w:r>
        <w:t xml:space="preserve"> </w:t>
      </w:r>
      <w:r>
        <w:t xml:space="preserve">- High Reliability - Official Hugging Face model card.</w:t>
      </w:r>
    </w:p>
    <w:p>
      <w:pPr>
        <w:numPr>
          <w:ilvl w:val="0"/>
          <w:numId w:val="1022"/>
        </w:numPr>
        <w:pStyle w:val="Compact"/>
      </w:pPr>
      <w:r>
        <w:t xml:space="preserve">[2]</w:t>
      </w:r>
      <w:r>
        <w:t xml:space="preserve"> </w:t>
      </w:r>
      <w:hyperlink r:id="rId51">
        <w:r>
          <w:rPr>
            <w:rStyle w:val="Hyperlink"/>
          </w:rPr>
          <w:t xml:space="preserve">PaddleOCR-VL Multilingual Document Parsing Model</w:t>
        </w:r>
      </w:hyperlink>
      <w:r>
        <w:t xml:space="preserve"> </w:t>
      </w:r>
      <w:r>
        <w:t xml:space="preserve">- High Reliability - Official Hugging Face model card.</w:t>
      </w:r>
    </w:p>
    <w:p>
      <w:pPr>
        <w:numPr>
          <w:ilvl w:val="0"/>
          <w:numId w:val="1022"/>
        </w:numPr>
        <w:pStyle w:val="Compact"/>
      </w:pPr>
      <w:r>
        <w:t xml:space="preserve">[3]</w:t>
      </w:r>
      <w:r>
        <w:t xml:space="preserve"> </w:t>
      </w:r>
      <w:hyperlink r:id="rId52">
        <w:r>
          <w:rPr>
            <w:rStyle w:val="Hyperlink"/>
          </w:rPr>
          <w:t xml:space="preserve">AI Release Week Thread (13 October 2025)</w:t>
        </w:r>
      </w:hyperlink>
      <w:r>
        <w:t xml:space="preserve"> </w:t>
      </w:r>
      <w:r>
        <w:t xml:space="preserve">- Medium Reliability - Community-curated collection.</w:t>
      </w:r>
    </w:p>
    <w:p>
      <w:pPr>
        <w:numPr>
          <w:ilvl w:val="0"/>
          <w:numId w:val="1022"/>
        </w:numPr>
        <w:pStyle w:val="Compact"/>
      </w:pPr>
      <w:r>
        <w:t xml:space="preserve">[4]</w:t>
      </w:r>
      <w:r>
        <w:t xml:space="preserve"> </w:t>
      </w:r>
      <w:hyperlink r:id="rId53">
        <w:r>
          <w:rPr>
            <w:rStyle w:val="Hyperlink"/>
          </w:rPr>
          <w:t xml:space="preserve">Vlaser Vision-Language-Action Model</w:t>
        </w:r>
      </w:hyperlink>
      <w:r>
        <w:t xml:space="preserve"> </w:t>
      </w:r>
      <w:r>
        <w:t xml:space="preserve">- High Reliability - Official GitHub repository.</w:t>
      </w:r>
    </w:p>
    <w:p>
      <w:pPr>
        <w:numPr>
          <w:ilvl w:val="0"/>
          <w:numId w:val="1022"/>
        </w:numPr>
        <w:pStyle w:val="Compact"/>
      </w:pPr>
      <w:r>
        <w:t xml:space="preserve">[5]</w:t>
      </w:r>
      <w:r>
        <w:t xml:space="preserve"> </w:t>
      </w:r>
      <w:hyperlink r:id="rId54">
        <w:r>
          <w:rPr>
            <w:rStyle w:val="Hyperlink"/>
          </w:rPr>
          <w:t xml:space="preserve">NVIDIA-Nemotron-Nano-12B-v2-VL-BF16 Model</w:t>
        </w:r>
      </w:hyperlink>
      <w:r>
        <w:t xml:space="preserve"> </w:t>
      </w:r>
      <w:r>
        <w:t xml:space="preserve">- High Reliability - Official Hugging Face model card.</w:t>
      </w:r>
    </w:p>
    <w:p>
      <w:pPr>
        <w:numPr>
          <w:ilvl w:val="0"/>
          <w:numId w:val="1022"/>
        </w:numPr>
        <w:pStyle w:val="Compact"/>
      </w:pPr>
      <w:r>
        <w:t xml:space="preserve">[6]</w:t>
      </w:r>
      <w:r>
        <w:t xml:space="preserve"> </w:t>
      </w:r>
      <w:hyperlink r:id="rId55">
        <w:r>
          <w:rPr>
            <w:rStyle w:val="Hyperlink"/>
          </w:rPr>
          <w:t xml:space="preserve">MedGemma: Open Models for Health AI Development</w:t>
        </w:r>
      </w:hyperlink>
      <w:r>
        <w:t xml:space="preserve"> </w:t>
      </w:r>
      <w:r>
        <w:t xml:space="preserve">- High Reliability - Official Google Research blog post.</w:t>
      </w:r>
    </w:p>
    <w:p>
      <w:pPr>
        <w:numPr>
          <w:ilvl w:val="0"/>
          <w:numId w:val="1022"/>
        </w:numPr>
        <w:pStyle w:val="Compact"/>
      </w:pPr>
      <w:r>
        <w:t xml:space="preserve">[7]</w:t>
      </w:r>
      <w:r>
        <w:t xml:space="preserve"> </w:t>
      </w:r>
      <w:hyperlink r:id="rId56">
        <w:r>
          <w:rPr>
            <w:rStyle w:val="Hyperlink"/>
          </w:rPr>
          <w:t xml:space="preserve">AndesVL Mobile-Optimized Multimodal Models Collection</w:t>
        </w:r>
      </w:hyperlink>
      <w:r>
        <w:t xml:space="preserve"> </w:t>
      </w:r>
      <w:r>
        <w:t xml:space="preserve">- Medium Reliability - Community-curated collection.</w:t>
      </w:r>
    </w:p>
    <w:p>
      <w:pPr>
        <w:numPr>
          <w:ilvl w:val="0"/>
          <w:numId w:val="1022"/>
        </w:numPr>
        <w:pStyle w:val="Compact"/>
      </w:pPr>
      <w:r>
        <w:t xml:space="preserve">[8]</w:t>
      </w:r>
      <w:r>
        <w:t xml:space="preserve"> </w:t>
      </w:r>
      <w:hyperlink r:id="rId57">
        <w:r>
          <w:rPr>
            <w:rStyle w:val="Hyperlink"/>
          </w:rPr>
          <w:t xml:space="preserve">Qwen3-VL Multimodal Large Language Model Series</w:t>
        </w:r>
      </w:hyperlink>
      <w:r>
        <w:t xml:space="preserve"> </w:t>
      </w:r>
      <w:r>
        <w:t xml:space="preserve">- High Reliability - Official GitHub repository.</w:t>
      </w:r>
    </w:p>
    <w:p>
      <w:pPr>
        <w:numPr>
          <w:ilvl w:val="0"/>
          <w:numId w:val="1022"/>
        </w:numPr>
        <w:pStyle w:val="Compact"/>
      </w:pPr>
      <w:r>
        <w:t xml:space="preserve">[9]</w:t>
      </w:r>
      <w:r>
        <w:t xml:space="preserve"> </w:t>
      </w:r>
      <w:hyperlink r:id="rId58">
        <w:r>
          <w:rPr>
            <w:rStyle w:val="Hyperlink"/>
          </w:rPr>
          <w:t xml:space="preserve">Phi-4-multimodal-instruct Model</w:t>
        </w:r>
      </w:hyperlink>
      <w:r>
        <w:t xml:space="preserve"> </w:t>
      </w:r>
      <w:r>
        <w:t xml:space="preserve">- High Reliability - Official Hugging Face model card.</w:t>
      </w:r>
    </w:p>
    <w:p>
      <w:pPr>
        <w:numPr>
          <w:ilvl w:val="0"/>
          <w:numId w:val="1022"/>
        </w:numPr>
        <w:pStyle w:val="Compact"/>
      </w:pPr>
      <w:r>
        <w:t xml:space="preserve">[10]</w:t>
      </w:r>
      <w:r>
        <w:t xml:space="preserve"> </w:t>
      </w:r>
      <w:hyperlink r:id="rId59">
        <w:r>
          <w:rPr>
            <w:rStyle w:val="Hyperlink"/>
          </w:rPr>
          <w:t xml:space="preserve">DeepSeek OCR: Context Optical Compression Model</w:t>
        </w:r>
      </w:hyperlink>
      <w:r>
        <w:t xml:space="preserve"> </w:t>
      </w:r>
      <w:r>
        <w:t xml:space="preserve">- High Reliability - Official DeepSeek-AI page.</w:t>
      </w:r>
    </w:p>
    <w:p>
      <w:pPr>
        <w:numPr>
          <w:ilvl w:val="0"/>
          <w:numId w:val="1022"/>
        </w:numPr>
        <w:pStyle w:val="Compact"/>
      </w:pPr>
      <w:r>
        <w:t xml:space="preserve">[11]</w:t>
      </w:r>
      <w:r>
        <w:t xml:space="preserve"> </w:t>
      </w:r>
      <w:hyperlink r:id="rId60">
        <w:r>
          <w:rPr>
            <w:rStyle w:val="Hyperlink"/>
          </w:rPr>
          <w:t xml:space="preserve">LightOnOCR-1B: End-to-End OCR Vision-Language Model</w:t>
        </w:r>
      </w:hyperlink>
      <w:r>
        <w:t xml:space="preserve"> </w:t>
      </w:r>
      <w:r>
        <w:t xml:space="preserve">- High Reliability - Official LightOn AI blog on Hugging Face.</w:t>
      </w:r>
    </w:p>
    <w:p>
      <w:pPr>
        <w:numPr>
          <w:ilvl w:val="0"/>
          <w:numId w:val="1022"/>
        </w:numPr>
        <w:pStyle w:val="Compact"/>
      </w:pPr>
      <w:r>
        <w:t xml:space="preserve">[12]</w:t>
      </w:r>
      <w:r>
        <w:t xml:space="preserve"> </w:t>
      </w:r>
      <w:hyperlink r:id="rId61">
        <w:r>
          <w:rPr>
            <w:rStyle w:val="Hyperlink"/>
          </w:rPr>
          <w:t xml:space="preserve">DreamOmni2: Multimodal Instruction-based Editing and Generation</w:t>
        </w:r>
      </w:hyperlink>
      <w:r>
        <w:t xml:space="preserve"> </w:t>
      </w:r>
      <w:r>
        <w:t xml:space="preserve">- High Reliability - Research paper on Hugging Face.</w:t>
      </w:r>
    </w:p>
    <w:p>
      <w:pPr>
        <w:numPr>
          <w:ilvl w:val="0"/>
          <w:numId w:val="1022"/>
        </w:numPr>
        <w:pStyle w:val="Compact"/>
      </w:pPr>
      <w:r>
        <w:t xml:space="preserve">[13]</w:t>
      </w:r>
      <w:r>
        <w:t xml:space="preserve"> </w:t>
      </w:r>
      <w:hyperlink r:id="rId62">
        <w:r>
          <w:rPr>
            <w:rStyle w:val="Hyperlink"/>
          </w:rPr>
          <w:t xml:space="preserve">Introducing Claude Haiku 4.5</w:t>
        </w:r>
      </w:hyperlink>
      <w:r>
        <w:t xml:space="preserve"> </w:t>
      </w:r>
      <w:r>
        <w:t xml:space="preserve">- High Reliability - Official Anthropic blog post.</w:t>
      </w:r>
    </w:p>
    <w:p>
      <w:pPr>
        <w:numPr>
          <w:ilvl w:val="0"/>
          <w:numId w:val="1022"/>
        </w:numPr>
        <w:pStyle w:val="Compact"/>
      </w:pPr>
      <w:r>
        <w:t xml:space="preserve">[14]</w:t>
      </w:r>
      <w:r>
        <w:t xml:space="preserve"> </w:t>
      </w:r>
      <w:hyperlink r:id="rId63">
        <w:r>
          <w:rPr>
            <w:rStyle w:val="Hyperlink"/>
          </w:rPr>
          <w:t xml:space="preserve">Introducing Claude Sonnet 4.5</w:t>
        </w:r>
      </w:hyperlink>
      <w:r>
        <w:t xml:space="preserve"> </w:t>
      </w:r>
      <w:r>
        <w:t xml:space="preserve">- High Reliability - Official Anthropic blog post.</w:t>
      </w:r>
    </w:p>
    <w:p>
      <w:pPr>
        <w:numPr>
          <w:ilvl w:val="0"/>
          <w:numId w:val="1022"/>
        </w:numPr>
        <w:pStyle w:val="Compact"/>
      </w:pPr>
      <w:r>
        <w:t xml:space="preserve">[15]</w:t>
      </w:r>
      <w:r>
        <w:t xml:space="preserve"> </w:t>
      </w:r>
      <w:hyperlink r:id="rId64">
        <w:r>
          <w:rPr>
            <w:rStyle w:val="Hyperlink"/>
          </w:rPr>
          <w:t xml:space="preserve">DeepSeek 3B Vision-Language Model</w:t>
        </w:r>
      </w:hyperlink>
      <w:r>
        <w:t xml:space="preserve"> </w:t>
      </w:r>
      <w:r>
        <w:t xml:space="preserve">- Medium Reliability - News article.</w:t>
      </w:r>
    </w:p>
    <w:p>
      <w:pPr>
        <w:numPr>
          <w:ilvl w:val="0"/>
          <w:numId w:val="1022"/>
        </w:numPr>
        <w:pStyle w:val="Compact"/>
      </w:pPr>
      <w:r>
        <w:t xml:space="preserve">[16]</w:t>
      </w:r>
      <w:r>
        <w:t xml:space="preserve"> </w:t>
      </w:r>
      <w:hyperlink r:id="rId65">
        <w:r>
          <w:rPr>
            <w:rStyle w:val="Hyperlink"/>
          </w:rPr>
          <w:t xml:space="preserve">RND1-Base Diffusion Language Model</w:t>
        </w:r>
      </w:hyperlink>
      <w:r>
        <w:t xml:space="preserve"> </w:t>
      </w:r>
      <w:r>
        <w:t xml:space="preserve">- Medium Reliability - Blog post.</w:t>
      </w:r>
    </w:p>
    <w:p>
      <w:pPr>
        <w:numPr>
          <w:ilvl w:val="0"/>
          <w:numId w:val="1022"/>
        </w:numPr>
        <w:pStyle w:val="Compact"/>
      </w:pPr>
      <w:r>
        <w:t xml:space="preserve">[17]</w:t>
      </w:r>
      <w:r>
        <w:t xml:space="preserve"> </w:t>
      </w:r>
      <w:hyperlink r:id="rId66">
        <w:r>
          <w:rPr>
            <w:rStyle w:val="Hyperlink"/>
          </w:rPr>
          <w:t xml:space="preserve">Alibaba Qwen3-Max Trillion Parameter Model</w:t>
        </w:r>
      </w:hyperlink>
      <w:r>
        <w:t xml:space="preserve"> </w:t>
      </w:r>
      <w:r>
        <w:t xml:space="preserve">- Medium Reliability - News article.</w:t>
      </w:r>
    </w:p>
    <w:p>
      <w:pPr>
        <w:numPr>
          <w:ilvl w:val="0"/>
          <w:numId w:val="1022"/>
        </w:numPr>
        <w:pStyle w:val="Compact"/>
      </w:pPr>
      <w:r>
        <w:t xml:space="preserve">[18]</w:t>
      </w:r>
      <w:r>
        <w:t xml:space="preserve"> </w:t>
      </w:r>
      <w:hyperlink r:id="rId67">
        <w:r>
          <w:rPr>
            <w:rStyle w:val="Hyperlink"/>
          </w:rPr>
          <w:t xml:space="preserve">Mistral Models Documentation</w:t>
        </w:r>
      </w:hyperlink>
      <w:r>
        <w:t xml:space="preserve"> </w:t>
      </w:r>
      <w:r>
        <w:t xml:space="preserve">- High Reliability - Official Mistral AI documentation.</w:t>
      </w:r>
    </w:p>
    <w:p>
      <w:pPr>
        <w:numPr>
          <w:ilvl w:val="0"/>
          <w:numId w:val="1022"/>
        </w:numPr>
        <w:pStyle w:val="Compact"/>
      </w:pPr>
      <w:r>
        <w:t xml:space="preserve">[19]</w:t>
      </w:r>
      <w:r>
        <w:t xml:space="preserve"> </w:t>
      </w:r>
      <w:hyperlink r:id="rId68">
        <w:r>
          <w:rPr>
            <w:rStyle w:val="Hyperlink"/>
          </w:rPr>
          <w:t xml:space="preserve">T5Gemma Encoder-Decoder Models</w:t>
        </w:r>
      </w:hyperlink>
      <w:r>
        <w:t xml:space="preserve"> </w:t>
      </w:r>
      <w:r>
        <w:t xml:space="preserve">- High Reliability - Official Google Developers blog post.</w:t>
      </w:r>
    </w:p>
    <w:p>
      <w:pPr>
        <w:numPr>
          <w:ilvl w:val="0"/>
          <w:numId w:val="1022"/>
        </w:numPr>
        <w:pStyle w:val="Compact"/>
      </w:pPr>
      <w:r>
        <w:t xml:space="preserve">[20]</w:t>
      </w:r>
      <w:r>
        <w:t xml:space="preserve"> </w:t>
      </w:r>
      <w:hyperlink r:id="rId69">
        <w:r>
          <w:rPr>
            <w:rStyle w:val="Hyperlink"/>
          </w:rPr>
          <w:t xml:space="preserve">Meta AI Llama Developments 2024</w:t>
        </w:r>
      </w:hyperlink>
      <w:r>
        <w:t xml:space="preserve"> </w:t>
      </w:r>
      <w:r>
        <w:t xml:space="preserve">- High Reliability - Official Meta AI blog post.</w:t>
      </w:r>
    </w:p>
    <w:p>
      <w:pPr>
        <w:numPr>
          <w:ilvl w:val="0"/>
          <w:numId w:val="1022"/>
        </w:numPr>
        <w:pStyle w:val="Compact"/>
      </w:pPr>
      <w:r>
        <w:t xml:space="preserve">[21]</w:t>
      </w:r>
      <w:r>
        <w:t xml:space="preserve"> </w:t>
      </w:r>
      <w:hyperlink r:id="rId70">
        <w:r>
          <w:rPr>
            <w:rStyle w:val="Hyperlink"/>
          </w:rPr>
          <w:t xml:space="preserve">Less is More: Recursive Reasoning with Tiny Networks</w:t>
        </w:r>
      </w:hyperlink>
      <w:r>
        <w:t xml:space="preserve"> </w:t>
      </w:r>
      <w:r>
        <w:t xml:space="preserve">- High Reliability - Research paper on arXiv.</w:t>
      </w:r>
    </w:p>
    <w:p>
      <w:pPr>
        <w:numPr>
          <w:ilvl w:val="0"/>
          <w:numId w:val="1022"/>
        </w:numPr>
        <w:pStyle w:val="Compact"/>
      </w:pPr>
      <w:r>
        <w:t xml:space="preserve">[22]</w:t>
      </w:r>
      <w:r>
        <w:t xml:space="preserve"> </w:t>
      </w:r>
      <w:hyperlink r:id="rId71">
        <w:r>
          <w:rPr>
            <w:rStyle w:val="Hyperlink"/>
          </w:rPr>
          <w:t xml:space="preserve">Granite 4.0: Hyper-efficient, High Performance Hybrid Models</w:t>
        </w:r>
      </w:hyperlink>
      <w:r>
        <w:t xml:space="preserve"> </w:t>
      </w:r>
      <w:r>
        <w:t xml:space="preserve">- High Reliability - Official IBM announcement.</w:t>
      </w:r>
    </w:p>
    <w:p>
      <w:pPr>
        <w:numPr>
          <w:ilvl w:val="0"/>
          <w:numId w:val="1022"/>
        </w:numPr>
        <w:pStyle w:val="Compact"/>
      </w:pPr>
      <w:r>
        <w:t xml:space="preserve">[23]</w:t>
      </w:r>
      <w:r>
        <w:t xml:space="preserve"> </w:t>
      </w:r>
      <w:hyperlink r:id="rId72">
        <w:r>
          <w:rPr>
            <w:rStyle w:val="Hyperlink"/>
          </w:rPr>
          <w:t xml:space="preserve">Granite-4.0-H-1B Model Card</w:t>
        </w:r>
      </w:hyperlink>
      <w:r>
        <w:t xml:space="preserve"> </w:t>
      </w:r>
      <w:r>
        <w:t xml:space="preserve">- High Reliability - Official Hugging Face model card.</w:t>
      </w:r>
    </w:p>
    <w:p>
      <w:pPr>
        <w:numPr>
          <w:ilvl w:val="0"/>
          <w:numId w:val="1022"/>
        </w:numPr>
        <w:pStyle w:val="Compact"/>
      </w:pPr>
      <w:r>
        <w:t xml:space="preserve">[24]</w:t>
      </w:r>
      <w:r>
        <w:t xml:space="preserve"> </w:t>
      </w:r>
      <w:hyperlink r:id="rId73">
        <w:r>
          <w:rPr>
            <w:rStyle w:val="Hyperlink"/>
          </w:rPr>
          <w:t xml:space="preserve">Top 9 Large Language Models as of October 2025</w:t>
        </w:r>
      </w:hyperlink>
      <w:r>
        <w:t xml:space="preserve"> </w:t>
      </w:r>
      <w:r>
        <w:t xml:space="preserve">- Medium Reliability - Blog post with analysis.</w:t>
      </w:r>
    </w:p>
    <w:p>
      <w:pPr>
        <w:numPr>
          <w:ilvl w:val="0"/>
          <w:numId w:val="1022"/>
        </w:numPr>
        <w:pStyle w:val="Compact"/>
      </w:pPr>
      <w:r>
        <w:t xml:space="preserve">[25]</w:t>
      </w:r>
      <w:r>
        <w:t xml:space="preserve"> </w:t>
      </w:r>
      <w:hyperlink r:id="rId74">
        <w:r>
          <w:rPr>
            <w:rStyle w:val="Hyperlink"/>
          </w:rPr>
          <w:t xml:space="preserve">Tiny Recursive Models GitHub Repository</w:t>
        </w:r>
      </w:hyperlink>
      <w:r>
        <w:t xml:space="preserve"> </w:t>
      </w:r>
      <w:r>
        <w:t xml:space="preserve">- High Reliability - Official GitHub repository.</w:t>
      </w:r>
    </w:p>
    <w:p>
      <w:pPr>
        <w:numPr>
          <w:ilvl w:val="0"/>
          <w:numId w:val="1022"/>
        </w:numPr>
        <w:pStyle w:val="Compact"/>
      </w:pPr>
      <w:r>
        <w:t xml:space="preserve">[26]</w:t>
      </w:r>
      <w:r>
        <w:t xml:space="preserve"> </w:t>
      </w:r>
      <w:hyperlink r:id="rId75">
        <w:r>
          <w:rPr>
            <w:rStyle w:val="Hyperlink"/>
          </w:rPr>
          <w:t xml:space="preserve">DeepSeek-OCR Architecture Explained</w:t>
        </w:r>
      </w:hyperlink>
      <w:r>
        <w:t xml:space="preserve"> </w:t>
      </w:r>
      <w:r>
        <w:t xml:space="preserve">- High Reliability - Official Skywork AI blog post.</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9" Target="https://ai.meta.com/blog/future-of-ai-built-with-llama/" TargetMode="External" /><Relationship Type="http://schemas.openxmlformats.org/officeDocument/2006/relationships/hyperlink" Id="rId70" Target="https://arxiv.org/pdf/2510.04871" TargetMode="External" /><Relationship Type="http://schemas.openxmlformats.org/officeDocument/2006/relationships/hyperlink" Id="rId66" Target="https://cybernews.com/ai-news/alibaba-released-trillion-parameter-model-qwen3-max/" TargetMode="External" /><Relationship Type="http://schemas.openxmlformats.org/officeDocument/2006/relationships/hyperlink" Id="rId68" Target="https://developers.googleblog.com/en/t5gemma/" TargetMode="External" /><Relationship Type="http://schemas.openxmlformats.org/officeDocument/2006/relationships/hyperlink" Id="rId67" Target="https://docs.mistral.ai/getting-started/models" TargetMode="External" /><Relationship Type="http://schemas.openxmlformats.org/officeDocument/2006/relationships/hyperlink" Id="rId53" Target="https://github.com/OpenGVLab/Vlaser/" TargetMode="External" /><Relationship Type="http://schemas.openxmlformats.org/officeDocument/2006/relationships/hyperlink" Id="rId57" Target="https://github.com/QwenLM/Qwen3-VL" TargetMode="External" /><Relationship Type="http://schemas.openxmlformats.org/officeDocument/2006/relationships/hyperlink" Id="rId74" Target="https://github.com/SamsungSAILMontreal/TinyRecursiveModels" TargetMode="External" /><Relationship Type="http://schemas.openxmlformats.org/officeDocument/2006/relationships/hyperlink" Id="rId65" Target="https://howaiworks.ai/blog/radical-numerics-rnd1-diffusion-model" TargetMode="External" /><Relationship Type="http://schemas.openxmlformats.org/officeDocument/2006/relationships/hyperlink" Id="rId51" Target="https://huggingface.co/PaddlePaddle/PaddleOCR-VL" TargetMode="External" /><Relationship Type="http://schemas.openxmlformats.org/officeDocument/2006/relationships/hyperlink" Id="rId60" Target="https://huggingface.co/blog/lightonai/lightonocr" TargetMode="External" /><Relationship Type="http://schemas.openxmlformats.org/officeDocument/2006/relationships/hyperlink" Id="rId56" Target="https://huggingface.co/collections/OPPOer/andesvl" TargetMode="External" /><Relationship Type="http://schemas.openxmlformats.org/officeDocument/2006/relationships/hyperlink" Id="rId52" Target="https://huggingface.co/collections/Presidentlin/ai-release-week-thread-13-october-2025-68f5d04b5f2b44edd0b21ea3" TargetMode="External" /><Relationship Type="http://schemas.openxmlformats.org/officeDocument/2006/relationships/hyperlink" Id="rId72" Target="https://huggingface.co/ibm-granite/granite-4.0-h-1b" TargetMode="External" /><Relationship Type="http://schemas.openxmlformats.org/officeDocument/2006/relationships/hyperlink" Id="rId50" Target="https://huggingface.co/inclusionAI/Ming-flash-omni-Preview" TargetMode="External" /><Relationship Type="http://schemas.openxmlformats.org/officeDocument/2006/relationships/hyperlink" Id="rId58" Target="https://huggingface.co/microsoft/Phi-4-multimodal-instruct" TargetMode="External" /><Relationship Type="http://schemas.openxmlformats.org/officeDocument/2006/relationships/hyperlink" Id="rId54" Target="https://huggingface.co/nvidia/NVIDIA-Nemotron-Nano-12B-v2-VL-BF16" TargetMode="External" /><Relationship Type="http://schemas.openxmlformats.org/officeDocument/2006/relationships/hyperlink" Id="rId61" Target="https://huggingface.co/papers/2510.06679" TargetMode="External" /><Relationship Type="http://schemas.openxmlformats.org/officeDocument/2006/relationships/hyperlink" Id="rId55" Target="https://research.google/blog/medgemma-our-most-capable-open-models-for-health-ai-development/" TargetMode="External" /><Relationship Type="http://schemas.openxmlformats.org/officeDocument/2006/relationships/hyperlink" Id="rId75" Target="https://skywork.ai/blog/ai-agent/deepseek-ocr-architecture-explained/" TargetMode="External" /><Relationship Type="http://schemas.openxmlformats.org/officeDocument/2006/relationships/hyperlink" Id="rId59" Target="https://skywork.ai/skypage/en/deepseek-ocr-text-recognition/1980822860916920320" TargetMode="External" /><Relationship Type="http://schemas.openxmlformats.org/officeDocument/2006/relationships/hyperlink" Id="rId62" Target="https://www.anthropic.com/news/claude-haiku-4-5" TargetMode="External" /><Relationship Type="http://schemas.openxmlformats.org/officeDocument/2006/relationships/hyperlink" Id="rId63" Target="https://www.anthropic.com/news/claude-sonnet-4-5" TargetMode="External" /><Relationship Type="http://schemas.openxmlformats.org/officeDocument/2006/relationships/hyperlink" Id="rId71" Target="https://www.ibm.com/new/announcements/ibm-granite-4-0-hyper-efficient-high-performance-hybrid-models" TargetMode="External" /><Relationship Type="http://schemas.openxmlformats.org/officeDocument/2006/relationships/hyperlink" Id="rId73" Target="https://www.shakudo.io/blog/top-9-large-language-models" TargetMode="External" /><Relationship Type="http://schemas.openxmlformats.org/officeDocument/2006/relationships/hyperlink" Id="rId64" Target="https://yourstory.com/ai-story/deepseek-3-billion-parameter-vision-language-model" TargetMode="External" /></Relationships>
</file>

<file path=word/_rels/footnotes.xml.rels><?xml version="1.0" encoding="UTF-8"?><Relationships xmlns="http://schemas.openxmlformats.org/package/2006/relationships"><Relationship Type="http://schemas.openxmlformats.org/officeDocument/2006/relationships/hyperlink" Id="rId69" Target="https://ai.meta.com/blog/future-of-ai-built-with-llama/" TargetMode="External" /><Relationship Type="http://schemas.openxmlformats.org/officeDocument/2006/relationships/hyperlink" Id="rId70" Target="https://arxiv.org/pdf/2510.04871" TargetMode="External" /><Relationship Type="http://schemas.openxmlformats.org/officeDocument/2006/relationships/hyperlink" Id="rId66" Target="https://cybernews.com/ai-news/alibaba-released-trillion-parameter-model-qwen3-max/" TargetMode="External" /><Relationship Type="http://schemas.openxmlformats.org/officeDocument/2006/relationships/hyperlink" Id="rId68" Target="https://developers.googleblog.com/en/t5gemma/" TargetMode="External" /><Relationship Type="http://schemas.openxmlformats.org/officeDocument/2006/relationships/hyperlink" Id="rId67" Target="https://docs.mistral.ai/getting-started/models" TargetMode="External" /><Relationship Type="http://schemas.openxmlformats.org/officeDocument/2006/relationships/hyperlink" Id="rId53" Target="https://github.com/OpenGVLab/Vlaser/" TargetMode="External" /><Relationship Type="http://schemas.openxmlformats.org/officeDocument/2006/relationships/hyperlink" Id="rId57" Target="https://github.com/QwenLM/Qwen3-VL" TargetMode="External" /><Relationship Type="http://schemas.openxmlformats.org/officeDocument/2006/relationships/hyperlink" Id="rId74" Target="https://github.com/SamsungSAILMontreal/TinyRecursiveModels" TargetMode="External" /><Relationship Type="http://schemas.openxmlformats.org/officeDocument/2006/relationships/hyperlink" Id="rId65" Target="https://howaiworks.ai/blog/radical-numerics-rnd1-diffusion-model" TargetMode="External" /><Relationship Type="http://schemas.openxmlformats.org/officeDocument/2006/relationships/hyperlink" Id="rId51" Target="https://huggingface.co/PaddlePaddle/PaddleOCR-VL" TargetMode="External" /><Relationship Type="http://schemas.openxmlformats.org/officeDocument/2006/relationships/hyperlink" Id="rId60" Target="https://huggingface.co/blog/lightonai/lightonocr" TargetMode="External" /><Relationship Type="http://schemas.openxmlformats.org/officeDocument/2006/relationships/hyperlink" Id="rId56" Target="https://huggingface.co/collections/OPPOer/andesvl" TargetMode="External" /><Relationship Type="http://schemas.openxmlformats.org/officeDocument/2006/relationships/hyperlink" Id="rId52" Target="https://huggingface.co/collections/Presidentlin/ai-release-week-thread-13-october-2025-68f5d04b5f2b44edd0b21ea3" TargetMode="External" /><Relationship Type="http://schemas.openxmlformats.org/officeDocument/2006/relationships/hyperlink" Id="rId72" Target="https://huggingface.co/ibm-granite/granite-4.0-h-1b" TargetMode="External" /><Relationship Type="http://schemas.openxmlformats.org/officeDocument/2006/relationships/hyperlink" Id="rId50" Target="https://huggingface.co/inclusionAI/Ming-flash-omni-Preview" TargetMode="External" /><Relationship Type="http://schemas.openxmlformats.org/officeDocument/2006/relationships/hyperlink" Id="rId58" Target="https://huggingface.co/microsoft/Phi-4-multimodal-instruct" TargetMode="External" /><Relationship Type="http://schemas.openxmlformats.org/officeDocument/2006/relationships/hyperlink" Id="rId54" Target="https://huggingface.co/nvidia/NVIDIA-Nemotron-Nano-12B-v2-VL-BF16" TargetMode="External" /><Relationship Type="http://schemas.openxmlformats.org/officeDocument/2006/relationships/hyperlink" Id="rId61" Target="https://huggingface.co/papers/2510.06679" TargetMode="External" /><Relationship Type="http://schemas.openxmlformats.org/officeDocument/2006/relationships/hyperlink" Id="rId55" Target="https://research.google/blog/medgemma-our-most-capable-open-models-for-health-ai-development/" TargetMode="External" /><Relationship Type="http://schemas.openxmlformats.org/officeDocument/2006/relationships/hyperlink" Id="rId75" Target="https://skywork.ai/blog/ai-agent/deepseek-ocr-architecture-explained/" TargetMode="External" /><Relationship Type="http://schemas.openxmlformats.org/officeDocument/2006/relationships/hyperlink" Id="rId59" Target="https://skywork.ai/skypage/en/deepseek-ocr-text-recognition/1980822860916920320" TargetMode="External" /><Relationship Type="http://schemas.openxmlformats.org/officeDocument/2006/relationships/hyperlink" Id="rId62" Target="https://www.anthropic.com/news/claude-haiku-4-5" TargetMode="External" /><Relationship Type="http://schemas.openxmlformats.org/officeDocument/2006/relationships/hyperlink" Id="rId63" Target="https://www.anthropic.com/news/claude-sonnet-4-5" TargetMode="External" /><Relationship Type="http://schemas.openxmlformats.org/officeDocument/2006/relationships/hyperlink" Id="rId71" Target="https://www.ibm.com/new/announcements/ibm-granite-4-0-hyper-efficient-high-performance-hybrid-models" TargetMode="External" /><Relationship Type="http://schemas.openxmlformats.org/officeDocument/2006/relationships/hyperlink" Id="rId73" Target="https://www.shakudo.io/blog/top-9-large-language-models" TargetMode="External" /><Relationship Type="http://schemas.openxmlformats.org/officeDocument/2006/relationships/hyperlink" Id="rId64" Target="https://yourstory.com/ai-story/deepseek-3-billion-parameter-vision-language-mode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2025-10-29T06:39:41Z</dcterms:created>
  <dcterms:modified xsi:type="dcterms:W3CDTF">2025-10-29T06:39:41Z</dcterms:modified>
</cp:coreProperties>
</file>

<file path=docProps/custom.xml><?xml version="1.0" encoding="utf-8"?>
<Properties xmlns="http://schemas.openxmlformats.org/officeDocument/2006/custom-properties" xmlns:vt="http://schemas.openxmlformats.org/officeDocument/2006/docPropsVTypes"/>
</file>