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W01 - Evaluation Design</w:t>
      </w:r>
    </w:p>
    <w:p>
      <w:pPr>
        <w:jc w:val="center"/>
      </w:pPr>
      <w:r>
        <w:rPr>
          <w:b/>
        </w:rPr>
        <w:t>InGen Dynamics Inc. | Data Scientist Internship</w:t>
      </w:r>
    </w:p>
    <w:p>
      <w:pPr>
        <w:jc w:val="center"/>
      </w:pPr>
      <w:r>
        <w:t>Yang Zhao | Week 1: Sep 28-Oct 3, 2026</w:t>
      </w:r>
    </w:p>
    <w:p>
      <w:pPr>
        <w:pStyle w:val="Heading1"/>
      </w:pPr>
      <w:r>
        <w:t>1. Evaluation Objective</w:t>
      </w:r>
    </w:p>
    <w:p>
      <w:r>
        <w:t>Design evaluation before model development so model selection cannot influence the test design. The goal is to estimate how well a model trained on historical Aido Rover data identifies future severity 3+ faults under realistic deployment conditions.</w:t>
      </w:r>
    </w:p>
    <w:p>
      <w:pPr>
        <w:pStyle w:val="Heading1"/>
      </w:pPr>
      <w:r>
        <w:t>2. Synthetic Data Period and Splits</w:t>
      </w:r>
    </w:p>
    <w:p>
      <w:r>
        <w:t>The synthetic fleet will cover 2025-01-01 through 2026-06-30 (18 months), a project design choice within the required 12-18 months. Fixed chronological splits will be used rather than random cross-validation.</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Partition</w:t>
            </w:r>
          </w:p>
        </w:tc>
        <w:tc>
          <w:tcPr>
            <w:tcW w:type="dxa" w:w="3264"/>
          </w:tcPr>
          <w:p>
            <w:r>
              <w:rPr>
                <w:b/>
              </w:rPr>
              <w:t>Dates</w:t>
            </w:r>
          </w:p>
        </w:tc>
        <w:tc>
          <w:tcPr>
            <w:tcW w:type="dxa" w:w="3264"/>
          </w:tcPr>
          <w:p>
            <w:r>
              <w:rPr>
                <w:b/>
              </w:rPr>
              <w:t>Purpose</w:t>
            </w:r>
          </w:p>
        </w:tc>
      </w:tr>
      <w:tr>
        <w:tc>
          <w:tcPr>
            <w:tcW w:type="dxa" w:w="3264"/>
          </w:tcPr>
          <w:p>
            <w:r>
              <w:t>Training</w:t>
            </w:r>
          </w:p>
        </w:tc>
        <w:tc>
          <w:tcPr>
            <w:tcW w:type="dxa" w:w="3264"/>
          </w:tcPr>
          <w:p>
            <w:r>
              <w:t>2025-01-01 to 2025-10-31</w:t>
            </w:r>
          </w:p>
        </w:tc>
        <w:tc>
          <w:tcPr>
            <w:tcW w:type="dxa" w:w="3264"/>
          </w:tcPr>
          <w:p>
            <w:r>
              <w:t>Fit model parameters using the earliest period.</w:t>
            </w:r>
          </w:p>
        </w:tc>
      </w:tr>
      <w:tr>
        <w:tc>
          <w:tcPr>
            <w:tcW w:type="dxa" w:w="3264"/>
          </w:tcPr>
          <w:p>
            <w:r>
              <w:t>Gap 1</w:t>
            </w:r>
          </w:p>
        </w:tc>
        <w:tc>
          <w:tcPr>
            <w:tcW w:type="dxa" w:w="3264"/>
          </w:tcPr>
          <w:p>
            <w:r>
              <w:t>2025-11-01 to 2025-11-07</w:t>
            </w:r>
          </w:p>
        </w:tc>
        <w:tc>
          <w:tcPr>
            <w:tcW w:type="dxa" w:w="3264"/>
          </w:tcPr>
          <w:p>
            <w:r>
              <w:t>7-day buffer preventing outcome-window overlap.</w:t>
            </w:r>
          </w:p>
        </w:tc>
      </w:tr>
      <w:tr>
        <w:tc>
          <w:tcPr>
            <w:tcW w:type="dxa" w:w="3264"/>
          </w:tcPr>
          <w:p>
            <w:r>
              <w:t>Validation</w:t>
            </w:r>
          </w:p>
        </w:tc>
        <w:tc>
          <w:tcPr>
            <w:tcW w:type="dxa" w:w="3264"/>
          </w:tcPr>
          <w:p>
            <w:r>
              <w:t>2025-11-08 to 2026-02-28</w:t>
            </w:r>
          </w:p>
        </w:tc>
        <w:tc>
          <w:tcPr>
            <w:tcW w:type="dxa" w:w="3264"/>
          </w:tcPr>
          <w:p>
            <w:r>
              <w:t>Model comparison, tuning, calibration, and threshold development.</w:t>
            </w:r>
          </w:p>
        </w:tc>
      </w:tr>
      <w:tr>
        <w:tc>
          <w:tcPr>
            <w:tcW w:type="dxa" w:w="3264"/>
          </w:tcPr>
          <w:p>
            <w:r>
              <w:t>Gap 2</w:t>
            </w:r>
          </w:p>
        </w:tc>
        <w:tc>
          <w:tcPr>
            <w:tcW w:type="dxa" w:w="3264"/>
          </w:tcPr>
          <w:p>
            <w:r>
              <w:t>2026-03-01 to 2026-03-07</w:t>
            </w:r>
          </w:p>
        </w:tc>
        <w:tc>
          <w:tcPr>
            <w:tcW w:type="dxa" w:w="3264"/>
          </w:tcPr>
          <w:p>
            <w:r>
              <w:t>7-day buffer preventing outcome-window overlap.</w:t>
            </w:r>
          </w:p>
        </w:tc>
      </w:tr>
      <w:tr>
        <w:tc>
          <w:tcPr>
            <w:tcW w:type="dxa" w:w="3264"/>
          </w:tcPr>
          <w:p>
            <w:r>
              <w:t>Test</w:t>
            </w:r>
          </w:p>
        </w:tc>
        <w:tc>
          <w:tcPr>
            <w:tcW w:type="dxa" w:w="3264"/>
          </w:tcPr>
          <w:p>
            <w:r>
              <w:t>2026-03-08 to 2026-06-24</w:t>
            </w:r>
          </w:p>
        </w:tc>
        <w:tc>
          <w:tcPr>
            <w:tcW w:type="dxa" w:w="3264"/>
          </w:tcPr>
          <w:p>
            <w:r>
              <w:t>Final untouched evaluation; June 25-30 cannot form complete T through T+6 labels.</w:t>
            </w:r>
          </w:p>
        </w:tc>
      </w:tr>
    </w:tbl>
    <w:p>
      <w:pPr>
        <w:pStyle w:val="Heading1"/>
      </w:pPr>
      <w:r>
        <w:t>3. Why Random Cross-Validation Is Not Used</w:t>
      </w:r>
    </w:p>
    <w:p>
      <w:r>
        <w:t>The task predicts future failures from past telemetry, so evaluation must preserve temporal order. Random shuffling could place later observations in training and earlier observations in test, creating unrealistic future-information leakage. Each split boundary also has a seven-day gap, equal to the prediction horizon.</w:t>
      </w:r>
    </w:p>
    <w:p>
      <w:pPr>
        <w:pStyle w:val="Heading1"/>
      </w:pPr>
      <w:r>
        <w:t>4. Primary Metric: Precision-Recall AUC</w:t>
      </w:r>
    </w:p>
    <w:p>
      <w:r>
        <w:t>PR-AUC is the primary metric because the positive class is expected to be rare—approximately one positive robot-day for every 30-50 negative robot-days according to the Concepts Primer. It focuses on the precision-recall trade-off for the failure class.</w:t>
      </w:r>
    </w:p>
    <w:p>
      <w:pPr>
        <w:pStyle w:val="Heading1"/>
      </w:pPr>
      <w:r>
        <w:t>5. Secondary Metrics</w:t>
      </w:r>
    </w:p>
    <w:p>
      <w:r>
        <w:t>Accuracy and ROC-AUC will be reported as secondary metrics. Accuracy can be high for a predict-never model under severe imbalance. ROC-AUC can also appear strong because the negative class is abundant, so neither is the primary model-selection criterion.</w:t>
      </w:r>
    </w:p>
    <w:p>
      <w:pPr>
        <w:pStyle w:val="Heading1"/>
      </w:pPr>
      <w:r>
        <w:t>6. Operational Metrics</w:t>
      </w:r>
    </w:p>
    <w:p>
      <w:r>
        <w:t>Model quality will also be evaluated using failures caught at a fixed inspection budget and false alarms per technician week. The supplied materials do not specify an exact technician inspection capacity, so inspection capacity will remain an explicit evaluation parameter rather than an invented company value.</w:t>
      </w:r>
    </w:p>
    <w:p>
      <w:pPr>
        <w:pStyle w:val="Heading1"/>
      </w:pPr>
      <w:r>
        <w:t>7. Required Baselines</w:t>
      </w:r>
    </w:p>
    <w:p>
      <w:r>
        <w:rPr>
          <w:b/>
        </w:rPr>
        <w:t xml:space="preserve">Predict-never: </w:t>
      </w:r>
      <w:r>
        <w:t>Assign no robot-day as high risk; this exposes why accuracy alone is misleading.</w:t>
      </w:r>
    </w:p>
    <w:p>
      <w:r>
        <w:rPr>
          <w:b/>
        </w:rPr>
        <w:t xml:space="preserve">Age or operating-hours rule: </w:t>
      </w:r>
      <w:r>
        <w:t>Use a simple age or accumulated-hours threshold, selected from development data rather than the final test set.</w:t>
      </w:r>
    </w:p>
    <w:p>
      <w:r>
        <w:rPr>
          <w:b/>
        </w:rPr>
        <w:t xml:space="preserve">Single-feature threshold: </w:t>
      </w:r>
      <w:r>
        <w:t>Use one informative feature as a simple risk rule. The exact feature and threshold will be selected from development data.</w:t>
      </w:r>
    </w:p>
    <w:p>
      <w:pPr>
        <w:pStyle w:val="Heading1"/>
      </w:pPr>
      <w:r>
        <w:t>8. Model-Selection and Test Protocol</w:t>
      </w:r>
    </w:p>
    <w:p>
      <w:pPr>
        <w:pStyle w:val="ListBullet"/>
      </w:pPr>
      <w:r>
        <w:t>Fit candidate models using the training period only.</w:t>
      </w:r>
    </w:p>
    <w:p>
      <w:pPr>
        <w:pStyle w:val="ListBullet"/>
      </w:pPr>
      <w:r>
        <w:t>Use validation for model comparison, hyperparameter tuning, probability calibration, and decision-threshold development.</w:t>
      </w:r>
    </w:p>
    <w:p>
      <w:pPr>
        <w:pStyle w:val="ListBullet"/>
      </w:pPr>
      <w:r>
        <w:t>Do not use the test period for iterative modelling decisions.</w:t>
      </w:r>
    </w:p>
    <w:p>
      <w:pPr>
        <w:pStyle w:val="ListBullet"/>
      </w:pPr>
      <w:r>
        <w:t>After the pipeline is fixed, evaluate once on test and compare against all required baselines.</w:t>
      </w:r>
    </w:p>
    <w:p>
      <w:pPr>
        <w:pStyle w:val="ListBullet"/>
      </w:pPr>
      <w:r>
        <w:t>Report non-improvements as well as improvements.</w:t>
      </w:r>
    </w:p>
    <w:p>
      <w:pPr>
        <w:pStyle w:val="Heading1"/>
      </w:pPr>
      <w:r>
        <w:t>9. Statistical-Power Check</w:t>
      </w:r>
    </w:p>
    <w:p>
      <w:r>
        <w:t>Before fitting models, count positive robot-days separately in train, validation, and test. If the test period contains too few positive cases, precision and recall may be unstable. This will be checked after synthetic generation and Week 2 modelling-frame construction.</w:t>
      </w:r>
    </w:p>
    <w:p>
      <w:pPr>
        <w:pStyle w:val="Heading1"/>
      </w:pPr>
      <w:r>
        <w:t>10. Evaluation Summary</w:t>
      </w:r>
    </w:p>
    <w:p>
      <w:r>
        <w:t>The design mirrors deployment: learn from the past, tune on a later period, and evaluate on an untouched future period. PR-AUC is the primary statistical metric; fixed-budget failure capture and false alarms per technician week connect performance to maintenance operations. The model must add value beyond the three required simple baselines.</w:t>
      </w:r>
    </w:p>
    <w:p>
      <w:pPr>
        <w:pStyle w:val="Heading1"/>
      </w:pPr>
      <w:r>
        <w:t>Source Basis and Design Choices</w:t>
      </w:r>
    </w:p>
    <w:p>
      <w:r>
        <w:t>Chronological validation, gaps of at least seven days, PR-AUC, secondary metrics, operational metrics, and required baselines come from the supplied Internship Plan and Concepts Primer. The exact 18-month calendar range and split dates are project design choices selected to satisfy those requirements and will be kept consistent with the synthetic-data generator.</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