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W01 - Predictive Maintenance Landscape Brief</w:t>
      </w:r>
    </w:p>
    <w:p>
      <w:pPr>
        <w:jc w:val="center"/>
      </w:pPr>
      <w:r>
        <w:rPr>
          <w:b/>
          <w:sz w:val="22"/>
        </w:rPr>
        <w:t>InGen Dynamics Inc. | Data Scientist Internship</w:t>
      </w:r>
    </w:p>
    <w:p>
      <w:pPr>
        <w:jc w:val="center"/>
      </w:pPr>
      <w:r>
        <w:rPr>
          <w:sz w:val="20"/>
        </w:rPr>
        <w:t>Yang Zhao | Week 1: Sep 28-Oct 3, 2026</w:t>
      </w:r>
    </w:p>
    <w:p/>
    <w:p>
      <w:pPr>
        <w:pStyle w:val="Heading1"/>
      </w:pPr>
      <w:r>
        <w:t>1. Purpose</w:t>
      </w:r>
    </w:p>
    <w:p>
      <w:r>
        <w:t>This brief evaluates InGen Dynamics' platforms from a data science and predictive-maintenance perspective. For each platform, the assessment considers likely failure or degradation modes, the amount and type of operational data available, whether the expected failure base rate and operating history are sufficient for supervised modelling, the operational cost of missed failures versus unnecessary interventions, and the decision that a model output would support.</w:t>
      </w:r>
    </w:p>
    <w:p>
      <w:r>
        <w:t>The objective is to determine which platform provides the strongest initial use case for predictive maintenance and to identify platforms where alternative analytical approaches may currently be more appropriate.</w:t>
      </w:r>
    </w:p>
    <w:p>
      <w:pPr>
        <w:pStyle w:val="Heading1"/>
      </w:pPr>
      <w:r>
        <w:t>2. Platform Assessment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sz w:val="16"/>
              </w:rPr>
              <w:t>Platform</w:t>
            </w:r>
          </w:p>
        </w:tc>
        <w:tc>
          <w:tcPr>
            <w:tcW w:type="dxa" w:w="1656"/>
            <w:vAlign w:val="center"/>
          </w:tcPr>
          <w:p>
            <w:r>
              <w:rPr>
                <w:b/>
                <w:sz w:val="16"/>
              </w:rPr>
              <w:t>Failure / degradation</w:t>
            </w:r>
          </w:p>
        </w:tc>
        <w:tc>
          <w:tcPr>
            <w:tcW w:type="dxa" w:w="1656"/>
            <w:vAlign w:val="center"/>
          </w:tcPr>
          <w:p>
            <w:r>
              <w:rPr>
                <w:b/>
                <w:sz w:val="16"/>
              </w:rPr>
              <w:t>Data sufficiency</w:t>
            </w:r>
          </w:p>
        </w:tc>
        <w:tc>
          <w:tcPr>
            <w:tcW w:type="dxa" w:w="1656"/>
            <w:vAlign w:val="center"/>
          </w:tcPr>
          <w:p>
            <w:r>
              <w:rPr>
                <w:b/>
                <w:sz w:val="16"/>
              </w:rPr>
              <w:t>Supervised ML fit</w:t>
            </w:r>
          </w:p>
        </w:tc>
        <w:tc>
          <w:tcPr>
            <w:tcW w:type="dxa" w:w="1656"/>
            <w:vAlign w:val="center"/>
          </w:tcPr>
          <w:p>
            <w:r>
              <w:rPr>
                <w:b/>
                <w:sz w:val="16"/>
              </w:rPr>
              <w:t>Cost asymmetry</w:t>
            </w:r>
          </w:p>
        </w:tc>
        <w:tc>
          <w:tcPr>
            <w:tcW w:type="dxa" w:w="1656"/>
            <w:vAlign w:val="center"/>
          </w:tcPr>
          <w:p>
            <w:r>
              <w:rPr>
                <w:b/>
                <w:sz w:val="16"/>
              </w:rPr>
              <w:t>Decision supported</w:t>
            </w:r>
          </w:p>
        </w:tc>
      </w:tr>
      <w:tr>
        <w:tc>
          <w:tcPr>
            <w:tcW w:type="dxa" w:w="1656"/>
            <w:vAlign w:val="top"/>
          </w:tcPr>
          <w:p>
            <w:pPr>
              <w:spacing w:after="0"/>
            </w:pPr>
            <w:r>
              <w:rPr>
                <w:sz w:val="15"/>
              </w:rPr>
              <w:t>Aido Rover</w:t>
            </w:r>
          </w:p>
        </w:tc>
        <w:tc>
          <w:tcPr>
            <w:tcW w:type="dxa" w:w="1656"/>
            <w:vAlign w:val="top"/>
          </w:tcPr>
          <w:p>
            <w:pPr>
              <w:spacing w:after="0"/>
            </w:pPr>
            <w:r>
              <w:rPr>
                <w:sz w:val="15"/>
              </w:rPr>
              <w:t>Battery degradation; motor-bearing wear; wheel wear; navigation/sensor faults; some random faults.</w:t>
            </w:r>
          </w:p>
        </w:tc>
        <w:tc>
          <w:tcPr>
            <w:tcW w:type="dxa" w:w="1656"/>
            <w:vAlign w:val="top"/>
          </w:tcPr>
          <w:p>
            <w:pPr>
              <w:spacing w:after="0"/>
            </w:pPr>
            <w:r>
              <w:rPr>
                <w:sz w:val="15"/>
              </w:rPr>
              <w:t>Strong potential: continuous telemetry, mission logs, fault events, maintenance records, and environmental exposure.</w:t>
            </w:r>
          </w:p>
        </w:tc>
        <w:tc>
          <w:tcPr>
            <w:tcW w:type="dxa" w:w="1656"/>
            <w:vAlign w:val="top"/>
          </w:tcPr>
          <w:p>
            <w:pPr>
              <w:spacing w:after="0"/>
            </w:pPr>
            <w:r>
              <w:rPr>
                <w:sz w:val="15"/>
              </w:rPr>
              <w:t>Strong candidate. Several degradation processes have measurable precursors, while some faults remain unpredictable.</w:t>
            </w:r>
          </w:p>
        </w:tc>
        <w:tc>
          <w:tcPr>
            <w:tcW w:type="dxa" w:w="1656"/>
            <w:vAlign w:val="top"/>
          </w:tcPr>
          <w:p>
            <w:pPr>
              <w:spacing w:after="0"/>
            </w:pPr>
            <w:r>
              <w:rPr>
                <w:sz w:val="15"/>
              </w:rPr>
              <w:t>Missed failure can strand a robot and reduce patrol coverage; a false positive causes an unnecessary technician visit or inspection.</w:t>
            </w:r>
          </w:p>
        </w:tc>
        <w:tc>
          <w:tcPr>
            <w:tcW w:type="dxa" w:w="1656"/>
            <w:vAlign w:val="top"/>
          </w:tcPr>
          <w:p>
            <w:pPr>
              <w:spacing w:after="0"/>
            </w:pPr>
            <w:r>
              <w:rPr>
                <w:sz w:val="15"/>
              </w:rPr>
              <w:t>Prioritize which robots should be inspected or serviced before failure.</w:t>
            </w:r>
          </w:p>
        </w:tc>
      </w:tr>
      <w:tr>
        <w:tc>
          <w:tcPr>
            <w:tcW w:type="dxa" w:w="1656"/>
            <w:vAlign w:val="top"/>
          </w:tcPr>
          <w:p>
            <w:pPr>
              <w:spacing w:after="0"/>
            </w:pPr>
            <w:r>
              <w:rPr>
                <w:sz w:val="15"/>
              </w:rPr>
              <w:t>Fari</w:t>
            </w:r>
          </w:p>
        </w:tc>
        <w:tc>
          <w:tcPr>
            <w:tcW w:type="dxa" w:w="1656"/>
            <w:vAlign w:val="top"/>
          </w:tcPr>
          <w:p>
            <w:pPr>
              <w:spacing w:after="0"/>
            </w:pPr>
            <w:r>
              <w:rPr>
                <w:sz w:val="15"/>
              </w:rPr>
              <w:t>Battery, software, and connectivity issues; gentler mechanical wear than Rover.</w:t>
            </w:r>
          </w:p>
        </w:tc>
        <w:tc>
          <w:tcPr>
            <w:tcW w:type="dxa" w:w="1656"/>
            <w:vAlign w:val="top"/>
          </w:tcPr>
          <w:p>
            <w:pPr>
              <w:spacing w:after="0"/>
            </w:pPr>
            <w:r>
              <w:rPr>
                <w:sz w:val="15"/>
              </w:rPr>
              <w:t>Session-based indoor operation; different sample size and base failure rate from Rover.</w:t>
            </w:r>
          </w:p>
        </w:tc>
        <w:tc>
          <w:tcPr>
            <w:tcW w:type="dxa" w:w="1656"/>
            <w:vAlign w:val="top"/>
          </w:tcPr>
          <w:p>
            <w:pPr>
              <w:spacing w:after="0"/>
            </w:pPr>
            <w:r>
              <w:rPr>
                <w:sz w:val="15"/>
              </w:rPr>
              <w:t>Useful mainly as a generalisation test for the Rover feature pipeline and modelling approach.</w:t>
            </w:r>
          </w:p>
        </w:tc>
        <w:tc>
          <w:tcPr>
            <w:tcW w:type="dxa" w:w="1656"/>
            <w:vAlign w:val="top"/>
          </w:tcPr>
          <w:p>
            <w:pPr>
              <w:spacing w:after="0"/>
            </w:pPr>
            <w:r>
              <w:rPr>
                <w:sz w:val="15"/>
              </w:rPr>
              <w:t>Missed failure affects service availability; unnecessary intervention consumes maintenance resources.</w:t>
            </w:r>
          </w:p>
        </w:tc>
        <w:tc>
          <w:tcPr>
            <w:tcW w:type="dxa" w:w="1656"/>
            <w:vAlign w:val="top"/>
          </w:tcPr>
          <w:p>
            <w:pPr>
              <w:spacing w:after="0"/>
            </w:pPr>
            <w:r>
              <w:rPr>
                <w:sz w:val="15"/>
              </w:rPr>
              <w:t>Identify units needing attention and test whether the Rover-derived pipeline transfers.</w:t>
            </w:r>
          </w:p>
        </w:tc>
      </w:tr>
      <w:tr>
        <w:tc>
          <w:tcPr>
            <w:tcW w:type="dxa" w:w="1656"/>
            <w:vAlign w:val="top"/>
          </w:tcPr>
          <w:p>
            <w:pPr>
              <w:spacing w:after="0"/>
            </w:pPr>
            <w:r>
              <w:rPr>
                <w:sz w:val="15"/>
              </w:rPr>
              <w:t>Sentinel Prime AI</w:t>
            </w:r>
          </w:p>
        </w:tc>
        <w:tc>
          <w:tcPr>
            <w:tcW w:type="dxa" w:w="1656"/>
            <w:vAlign w:val="top"/>
          </w:tcPr>
          <w:p>
            <w:pPr>
              <w:spacing w:after="0"/>
            </w:pPr>
            <w:r>
              <w:rPr>
                <w:sz w:val="15"/>
              </w:rPr>
              <w:t>The provided materials frame Sentinel around security-alert activity rather than physical degradation.</w:t>
            </w:r>
          </w:p>
        </w:tc>
        <w:tc>
          <w:tcPr>
            <w:tcW w:type="dxa" w:w="1656"/>
            <w:vAlign w:val="top"/>
          </w:tcPr>
          <w:p>
            <w:pPr>
              <w:spacing w:after="0"/>
            </w:pPr>
            <w:r>
              <w:rPr>
                <w:sz w:val="15"/>
              </w:rPr>
              <w:t>Security alert/event history can support forecasting if sufficient history exists.</w:t>
            </w:r>
          </w:p>
        </w:tc>
        <w:tc>
          <w:tcPr>
            <w:tcW w:type="dxa" w:w="1656"/>
            <w:vAlign w:val="top"/>
          </w:tcPr>
          <w:p>
            <w:pPr>
              <w:spacing w:after="0"/>
            </w:pPr>
            <w:r>
              <w:rPr>
                <w:sz w:val="15"/>
              </w:rPr>
              <w:t>Better aligned with alert-volume forecasting than the Week 1 hardware-failure classification problem.</w:t>
            </w:r>
          </w:p>
        </w:tc>
        <w:tc>
          <w:tcPr>
            <w:tcW w:type="dxa" w:w="1656"/>
            <w:vAlign w:val="top"/>
          </w:tcPr>
          <w:p>
            <w:pPr>
              <w:spacing w:after="0"/>
            </w:pPr>
            <w:r>
              <w:rPr>
                <w:sz w:val="15"/>
              </w:rPr>
              <w:t>Under-forecasting may leave operations understaffed; over-forecasting may create excess staffing.</w:t>
            </w:r>
          </w:p>
        </w:tc>
        <w:tc>
          <w:tcPr>
            <w:tcW w:type="dxa" w:w="1656"/>
            <w:vAlign w:val="top"/>
          </w:tcPr>
          <w:p>
            <w:pPr>
              <w:spacing w:after="0"/>
            </w:pPr>
            <w:r>
              <w:rPr>
                <w:sz w:val="15"/>
              </w:rPr>
              <w:t>Forecast alert volume to support security-operations staffing.</w:t>
            </w:r>
          </w:p>
        </w:tc>
      </w:tr>
      <w:tr>
        <w:tc>
          <w:tcPr>
            <w:tcW w:type="dxa" w:w="1656"/>
            <w:vAlign w:val="top"/>
          </w:tcPr>
          <w:p>
            <w:pPr>
              <w:spacing w:after="0"/>
            </w:pPr>
            <w:r>
              <w:rPr>
                <w:sz w:val="15"/>
              </w:rPr>
              <w:t>Aido Humanoid</w:t>
            </w:r>
          </w:p>
        </w:tc>
        <w:tc>
          <w:tcPr>
            <w:tcW w:type="dxa" w:w="1656"/>
            <w:vAlign w:val="top"/>
          </w:tcPr>
          <w:p>
            <w:pPr>
              <w:spacing w:after="0"/>
            </w:pPr>
            <w:r>
              <w:rPr>
                <w:sz w:val="15"/>
              </w:rPr>
              <w:t>Detailed failure modes are not specified in the provided internship materials.</w:t>
            </w:r>
          </w:p>
        </w:tc>
        <w:tc>
          <w:tcPr>
            <w:tcW w:type="dxa" w:w="1656"/>
            <w:vAlign w:val="top"/>
          </w:tcPr>
          <w:p>
            <w:pPr>
              <w:spacing w:after="0"/>
            </w:pPr>
            <w:r>
              <w:rPr>
                <w:sz w:val="15"/>
              </w:rPr>
              <w:t>Too few units and too little operating history for a reliable supervised failure model.</w:t>
            </w:r>
          </w:p>
        </w:tc>
        <w:tc>
          <w:tcPr>
            <w:tcW w:type="dxa" w:w="1656"/>
            <w:vAlign w:val="top"/>
          </w:tcPr>
          <w:p>
            <w:pPr>
              <w:spacing w:after="0"/>
            </w:pPr>
            <w:r>
              <w:rPr>
                <w:sz w:val="15"/>
              </w:rPr>
              <w:t>Not currently appropriate for supervised predictive maintenance.</w:t>
            </w:r>
          </w:p>
        </w:tc>
        <w:tc>
          <w:tcPr>
            <w:tcW w:type="dxa" w:w="1656"/>
            <w:vAlign w:val="top"/>
          </w:tcPr>
          <w:p>
            <w:pPr>
              <w:spacing w:after="0"/>
            </w:pPr>
            <w:r>
              <w:rPr>
                <w:sz w:val="15"/>
              </w:rPr>
              <w:t>Not sufficiently specified in the provided materials.</w:t>
            </w:r>
          </w:p>
        </w:tc>
        <w:tc>
          <w:tcPr>
            <w:tcW w:type="dxa" w:w="1656"/>
            <w:vAlign w:val="top"/>
          </w:tcPr>
          <w:p>
            <w:pPr>
              <w:spacing w:after="0"/>
            </w:pPr>
            <w:r>
              <w:rPr>
                <w:sz w:val="15"/>
              </w:rPr>
              <w:t>Continue collecting operating and failure history before supervised modelling.</w:t>
            </w:r>
          </w:p>
        </w:tc>
      </w:tr>
      <w:tr>
        <w:tc>
          <w:tcPr>
            <w:tcW w:type="dxa" w:w="1656"/>
            <w:vAlign w:val="top"/>
          </w:tcPr>
          <w:p>
            <w:pPr>
              <w:spacing w:after="0"/>
            </w:pPr>
            <w:r>
              <w:rPr>
                <w:sz w:val="15"/>
              </w:rPr>
              <w:t>Senpai</w:t>
            </w:r>
          </w:p>
        </w:tc>
        <w:tc>
          <w:tcPr>
            <w:tcW w:type="dxa" w:w="1656"/>
            <w:vAlign w:val="top"/>
          </w:tcPr>
          <w:p>
            <w:pPr>
              <w:spacing w:after="0"/>
            </w:pPr>
            <w:r>
              <w:rPr>
                <w:sz w:val="15"/>
              </w:rPr>
              <w:t>Detailed failure modes are not specified in the provided internship materials.</w:t>
            </w:r>
          </w:p>
        </w:tc>
        <w:tc>
          <w:tcPr>
            <w:tcW w:type="dxa" w:w="1656"/>
            <w:vAlign w:val="top"/>
          </w:tcPr>
          <w:p>
            <w:pPr>
              <w:spacing w:after="0"/>
            </w:pPr>
            <w:r>
              <w:rPr>
                <w:sz w:val="15"/>
              </w:rPr>
              <w:t>Too few units and too little operating history for a reliable supervised failure model.</w:t>
            </w:r>
          </w:p>
        </w:tc>
        <w:tc>
          <w:tcPr>
            <w:tcW w:type="dxa" w:w="1656"/>
            <w:vAlign w:val="top"/>
          </w:tcPr>
          <w:p>
            <w:pPr>
              <w:spacing w:after="0"/>
            </w:pPr>
            <w:r>
              <w:rPr>
                <w:sz w:val="15"/>
              </w:rPr>
              <w:t>Not currently appropriate for supervised predictive maintenance.</w:t>
            </w:r>
          </w:p>
        </w:tc>
        <w:tc>
          <w:tcPr>
            <w:tcW w:type="dxa" w:w="1656"/>
            <w:vAlign w:val="top"/>
          </w:tcPr>
          <w:p>
            <w:pPr>
              <w:spacing w:after="0"/>
            </w:pPr>
            <w:r>
              <w:rPr>
                <w:sz w:val="15"/>
              </w:rPr>
              <w:t>Not sufficiently specified in the provided materials.</w:t>
            </w:r>
          </w:p>
        </w:tc>
        <w:tc>
          <w:tcPr>
            <w:tcW w:type="dxa" w:w="1656"/>
            <w:vAlign w:val="top"/>
          </w:tcPr>
          <w:p>
            <w:pPr>
              <w:spacing w:after="0"/>
            </w:pPr>
            <w:r>
              <w:rPr>
                <w:sz w:val="15"/>
              </w:rPr>
              <w:t>Continue collecting operating and failure history before supervised modelling.</w:t>
            </w:r>
          </w:p>
        </w:tc>
      </w:tr>
    </w:tbl>
    <w:p>
      <w:pPr>
        <w:pStyle w:val="Heading1"/>
      </w:pPr>
      <w:r>
        <w:t>3. Aido Rover as the Primary Predictive-Maintenance Candidate</w:t>
      </w:r>
    </w:p>
    <w:p>
      <w:r>
        <w:t>Aido Rover is the strongest primary candidate for predictive maintenance because its outdoor patrol operation creates the combination of data volume, measurable degradation, environmental variation, and operational cost needed for a meaningful supervised learning problem.</w:t>
      </w:r>
    </w:p>
    <w:p>
      <w:r>
        <w:t>Rover generates continuous telemetry from moving hardware, while mechanical wear accumulates over time and operating conditions vary across sites. Several failure mechanisms have plausible precursors. Battery capacity can gradually decrease with charge cycles and degrade faster under temperature extremes. Motor-bearing wear may be preceded by increasing current draw over approximately 5-15 days, and wheel wear can be accelerated by terrain. Navigation or sensor faults may also be partly associated with age and environmental exposure.</w:t>
      </w:r>
    </w:p>
    <w:p>
      <w:r>
        <w:t>Not every failure should be assumed predictable. Random faults, infrastructure-driven connectivity failures, and software errors without warning may provide little or no detectable precursor. Including such cases is important because it prevents the modelling problem from assuming that perfect prediction is achievable.</w:t>
      </w:r>
    </w:p>
    <w:p>
      <w:pPr>
        <w:pStyle w:val="Heading1"/>
      </w:pPr>
      <w:r>
        <w:t>4. Operational Cost Asymmetry</w:t>
      </w:r>
    </w:p>
    <w:p>
      <w:r>
        <w:t>Predictive maintenance is not only a classification problem; the value of a prediction depends on the operational consequences of acting or failing to act on it. For Aido Rover, a missed failure may result in a stranded robot, lost patrol coverage, and an emergency maintenance response. A false positive primarily creates the cost of an unnecessary technician visit or inspection.</w:t>
      </w:r>
    </w:p>
    <w:p>
      <w:r>
        <w:t>Because these costs are unequal, the eventual decision threshold should reflect their relative magnitude rather than automatically using a probability threshold of 0.5. The model therefore needs to support an operational question: which robots should the maintenance team inspect before they fail, given limited technician capacity?</w:t>
      </w:r>
    </w:p>
    <w:p>
      <w:pPr>
        <w:pStyle w:val="Heading1"/>
      </w:pPr>
      <w:r>
        <w:t>5. Role of the Other Platforms</w:t>
      </w:r>
    </w:p>
    <w:p>
      <w:pPr>
        <w:pStyle w:val="Heading2"/>
      </w:pPr>
      <w:r>
        <w:t>Fari</w:t>
      </w:r>
    </w:p>
    <w:p>
      <w:r>
        <w:t>Fari is useful as a generalisation test rather than the initial modelling subject. It operates indoors on a session basis with gentler mechanical wear, shifting the failure profile toward battery, software, and connectivity issues. Applying the Rover pipeline to Fari later can test whether the feature engineering generalises to a different operating environment and failure distribution rather than being fitted only to Rover-specific behaviour.</w:t>
      </w:r>
    </w:p>
    <w:p>
      <w:pPr>
        <w:pStyle w:val="Heading2"/>
      </w:pPr>
      <w:r>
        <w:t>Sentinel Prime AI</w:t>
      </w:r>
    </w:p>
    <w:p>
      <w:r>
        <w:t>Sentinel Prime AI is better aligned with forecasting than with the Week 1 hardware-failure classification problem. The internship materials identify security-alert volume as a potential forecast target, where predictions could support staffing decisions for security operations.</w:t>
      </w:r>
    </w:p>
    <w:p>
      <w:pPr>
        <w:pStyle w:val="Heading2"/>
      </w:pPr>
      <w:r>
        <w:t>Aido Humanoid and Senpai</w:t>
      </w:r>
    </w:p>
    <w:p>
      <w:r>
        <w:t>The internship materials state that these research and education platforms currently have too few units and too little operating history for a reliable supervised failure model. This does not mean predictive maintenance could never apply; rather, the immediate need is to accumulate sufficient operating and failure history before fitting probability-based supervised models.</w:t>
      </w:r>
    </w:p>
    <w:p>
      <w:pPr>
        <w:pStyle w:val="Heading1"/>
      </w:pPr>
      <w:r>
        <w:t>6. Recommendation</w:t>
      </w:r>
    </w:p>
    <w:p>
      <w:r>
        <w:t>Based on this assessment, Aido Rover should serve as the primary modelling subject for the predictive-maintenance programme. It provides continuous operational telemetry, measurable degradation processes, meaningful environmental variation, and a clear operational trade-off between missed failures and unnecessary maintenance.</w:t>
      </w:r>
    </w:p>
    <w:p>
      <w:r>
        <w:t>Fari should subsequently be used as a generalisation test to determine whether the modelling pipeline transfers to a different operating environment and failure distribution. Sentinel Prime AI is better aligned with alert-volume forecasting, while Aido Humanoid and Senpai should remain landscape-context platforms until sufficient fleet size and operating history exist to support reliable supervised failure modelling.</w:t>
      </w:r>
    </w:p>
    <w:p>
      <w:r>
        <w:t>The initial modelling effort will therefore focus on using historical information available before each prediction point to estimate Aido Rover failure risk and ultimately support risk-ranked preventive-maintenance decisions.</w:t>
      </w:r>
    </w:p>
    <w:p>
      <w:pPr>
        <w:pStyle w:val="Heading1"/>
      </w:pPr>
      <w:r>
        <w:t>Source Basis</w:t>
      </w:r>
    </w:p>
    <w:p>
      <w:r>
        <w:t>This brief is based on the InGen Dynamics Data Scientist Internship Program Plan and the companion Concepts Primer provided for the Predictive Maintenance &amp; Fleet Forecasting Track. No external technical assumptions have been introduced where the provided materials do not specify details.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