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W01 - Prediction Problem Specification</w:t>
      </w:r>
    </w:p>
    <w:p>
      <w:pPr>
        <w:jc w:val="center"/>
      </w:pPr>
      <w:r>
        <w:rPr>
          <w:b/>
        </w:rPr>
        <w:t>InGen Dynamics Inc. | Data Scientist Internship</w:t>
      </w:r>
    </w:p>
    <w:p>
      <w:pPr>
        <w:jc w:val="center"/>
      </w:pPr>
      <w:r>
        <w:t>Yang Zhao | Week 1: Sep 28-Oct 3, 2026</w:t>
      </w:r>
    </w:p>
    <w:p>
      <w:pPr>
        <w:pStyle w:val="Heading1"/>
      </w:pPr>
      <w:r>
        <w:t>1. Prediction Objective</w:t>
      </w:r>
    </w:p>
    <w:p>
      <w:r>
        <w:t>For each eligible Aido Rover on each calendar day, estimate the risk that the unit will experience at least one fault of severity 3 or higher during the next seven days. The output is one risk score per robot-day and is intended to support daily preventive-maintenance prioritisation.</w:t>
      </w:r>
    </w:p>
    <w:p>
      <w:pPr>
        <w:pStyle w:val="Heading1"/>
      </w:pPr>
      <w:r>
        <w:t>2. Prediction Unit</w:t>
      </w:r>
    </w:p>
    <w:p>
      <w:r>
        <w:t>The prediction unit is one robot-day. Each row in the modelling frame represents one (unit_id, date) pair, and the model produces one risk score for that row. This granularity matches the operational workflow because technician schedules and maintenance decisions are planned by day.</w:t>
      </w:r>
    </w:p>
    <w:p>
      <w:pPr>
        <w:pStyle w:val="Heading1"/>
      </w:pPr>
      <w:r>
        <w:t>3. Binary Label Definition</w:t>
      </w:r>
    </w:p>
    <w:p>
      <w:r>
        <w:t>The target is binary: does this unit experience a fault of severity 3 or higher in the seven-day outcome window after the prediction date?</w:t>
      </w:r>
    </w:p>
    <w:p>
      <w:pPr>
        <w:pStyle w:val="ListBullet"/>
      </w:pPr>
      <w:r>
        <w:t>Positive (1): at least one severity 3+ fault occurs during the seven-day outcome window.</w:t>
      </w:r>
    </w:p>
    <w:p>
      <w:pPr>
        <w:pStyle w:val="ListBullet"/>
      </w:pPr>
      <w:r>
        <w:t>Negative (0): no severity 3+ fault occurs during that outcome window.</w:t>
      </w:r>
    </w:p>
    <w:p>
      <w:pPr>
        <w:pStyle w:val="ListBullet"/>
      </w:pPr>
      <w:r>
        <w:t>A unit already in maintenance at the prediction date is excluded from the modelling frame rather than labelled negative.</w:t>
      </w:r>
    </w:p>
    <w:p>
      <w:pPr>
        <w:pStyle w:val="ListBullet"/>
      </w:pPr>
      <w:r>
        <w:t>If two or more qualifying faults occur in the same outcome window, the row is labelled positive once; the target remains binary.</w:t>
      </w:r>
    </w:p>
    <w:p>
      <w:pPr>
        <w:pStyle w:val="ListBullet"/>
      </w:pPr>
      <w:r>
        <w:t>If a fault is logged hours after it occurred, it is assigned to the day it occurred rather than the logging day.</w:t>
      </w:r>
    </w:p>
    <w:p>
      <w:pPr>
        <w:pStyle w:val="Heading1"/>
      </w:pPr>
      <w:r>
        <w:t>4. Prediction Horizon and Blackout Gap</w:t>
      </w:r>
    </w:p>
    <w:p>
      <w:r>
        <w:t>The prediction horizon is seven days. This horizon is intended to balance predictive signal with operational actionability: it gives the maintenance team time to schedule preventive action while keeping the prediction close enough to current robot condition to remain useful.</w:t>
      </w:r>
    </w:p>
    <w:p>
      <w:r>
        <w:t>A one-day blackout gap is used. For prediction date T, features are computed only from information available through T-1, while the label covers qualifying faults from T through T+6. This reduces leakage from information emerging at the beginning of the outcome window and reflects the practical need to schedule maintenance without same-day turnaround.</w:t>
      </w:r>
    </w:p>
    <w:p>
      <w:pPr>
        <w:pStyle w:val="Heading1"/>
      </w:pPr>
      <w:r>
        <w:t>5. Eligibility and Edge Cases</w:t>
      </w:r>
    </w:p>
    <w:p>
      <w:r>
        <w:t>A robot-day is eligible only when the unit is not already in active maintenance at the prediction date. Multiple qualifying faults within one outcome window still produce a single positive label. Delayed fault logs are assigned using the actual occurrence day. These rules make the modelling frame reproducible and unambiguous.</w:t>
      </w:r>
    </w:p>
    <w:p>
      <w:pPr>
        <w:pStyle w:val="Heading1"/>
      </w:pPr>
      <w:r>
        <w:t>6. Expected Class Balance and Metric Implications</w:t>
      </w:r>
    </w:p>
    <w:p>
      <w:r>
        <w:t>The Concepts Primer anticipates severe class imbalance, approximately one positive robot-day for every 30-50 negative robot-days. This is an expectation to verify after generating the synthetic fleet, not a guaranteed observed rate.</w:t>
      </w:r>
    </w:p>
    <w:p>
      <w:r>
        <w:t>Because positives are expected to be rare, accuracy can be misleading. A model that nearly always predicts no failure could achieve high accuracy while catching few or no failures. Precision-recall AUC will therefore be the primary evaluation metric, supplemented by operational measures such as failures caught at a fixed inspection budget and false alarms per technician week.</w:t>
      </w:r>
    </w:p>
    <w:p>
      <w:pPr>
        <w:pStyle w:val="Heading1"/>
      </w:pPr>
      <w:r>
        <w:t>7. Leakage-Control Rules</w:t>
      </w:r>
    </w:p>
    <w:p>
      <w:pPr>
        <w:pStyle w:val="ListBullet"/>
      </w:pPr>
      <w:r>
        <w:t>No feature may use information after T-1 for a robot-day scored at T.</w:t>
      </w:r>
    </w:p>
    <w:p>
      <w:pPr>
        <w:pStyle w:val="ListBullet"/>
      </w:pPr>
      <w:r>
        <w:t>Fault occurrence time, rather than delayed logging time, determines whether a fault belongs in the outcome window.</w:t>
      </w:r>
    </w:p>
    <w:p>
      <w:pPr>
        <w:pStyle w:val="ListBullet"/>
      </w:pPr>
      <w:r>
        <w:t>Training, validation, and test data will be ordered chronologically rather than randomly shuffled.</w:t>
      </w:r>
    </w:p>
    <w:p>
      <w:pPr>
        <w:pStyle w:val="ListBullet"/>
      </w:pPr>
      <w:r>
        <w:t>Gaps between train, validation, and test periods will be at least as long as the seven-day prediction horizon so outcome windows do not overlap across evaluation boundaries.</w:t>
      </w:r>
    </w:p>
    <w:p>
      <w:pPr>
        <w:pStyle w:val="Heading1"/>
      </w:pPr>
      <w:r>
        <w:t>8. Statistical-Power Check</w:t>
      </w:r>
    </w:p>
    <w:p>
      <w:r>
        <w:t>Before fitting a model, the number of positive robot-days in each chronological split will be counted. If a split contains too few positive cases, precision and recall estimates may be unstable. Positive-event counts and class balance will therefore be reviewed before feature engineering and model fitting proceed.</w:t>
      </w:r>
    </w:p>
    <w:p>
      <w:pPr>
        <w:pStyle w:val="Heading1"/>
      </w:pPr>
      <w:r>
        <w:t>9. Final Problem Statement</w:t>
      </w:r>
    </w:p>
    <w:p>
      <w:r>
        <w:rPr>
          <w:b/>
        </w:rPr>
        <w:t>For every eligible Aido Rover robot-day T, using only information available through T-1, predict the probability that the unit experiences at least one severity 3+ fault during T through T+6.</w:t>
      </w:r>
    </w:p>
    <w:p>
      <w:r>
        <w:t>The prediction will be used to rank units by near-term failure risk so that preventive inspections can be prioritised within available maintenance capacity.</w:t>
      </w:r>
    </w:p>
    <w:p>
      <w:pPr>
        <w:pStyle w:val="Heading1"/>
      </w:pPr>
      <w:r>
        <w:t>Source Basis</w:t>
      </w:r>
    </w:p>
    <w:p>
      <w:r>
        <w:t>This specification follows the InGen Dynamics Data Scientist Internship Program Plan and Concepts Primer for Week 1. The one-day blackout gap, maintenance exclusion, multiple-fault rule, delayed-log rule, chronological validation, and expected class-imbalance range are taken from the companion Primer.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