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 Pre-Failure Signal Analysis</w:t>
      </w:r>
    </w:p>
    <w:p>
      <w:pPr>
        <w:pStyle w:val="Subtitle"/>
      </w:pPr>
      <w:r>
        <w:t>Windowed Feature Engineering, Leakage Control &amp; Pre-Failure Signal Analysis</w:t>
      </w:r>
    </w:p>
    <w:p>
      <w:pPr>
        <w:pStyle w:val="Heading1"/>
      </w:pPr>
      <w:r>
        <w:t>Executive summary</w:t>
      </w:r>
    </w:p>
    <w:p>
      <w:r>
        <w:t>The training-only matched analysis contains 518 positive/control pairs and evaluates 68 numeric fields. 38 fields meet the exploratory Benjamini–Hochberg FDR 0.05 threshold. Results are associations in synthetic data, not causal or externally validated estimates.</w:t>
      </w:r>
    </w:p>
    <w:p>
      <w:pPr>
        <w:pStyle w:val="Heading1"/>
      </w:pPr>
      <w:r>
        <w:t>Data and methods</w:t>
      </w:r>
    </w:p>
    <w:p>
      <w:pPr>
        <w:pStyle w:val="ListBullet"/>
      </w:pPr>
      <w:r>
        <w:t>Inputs: user-provided W03_signal_analysis.csv and W03_feature_stability.csv. The feature dictionary lists 67 engineered features; the signal analysis contains 68 numeric fields. The difference has not been reconciled with the underlying script.</w:t>
      </w:r>
    </w:p>
    <w:p>
      <w:pPr>
        <w:pStyle w:val="ListBullet"/>
      </w:pPr>
      <w:r>
        <w:t>Matching: script output reports 518 matched positive/control pairs using the training split. Exact matching criteria and whether controls are temporally independent require source-code verification.</w:t>
      </w:r>
    </w:p>
    <w:p>
      <w:pPr>
        <w:pStyle w:val="ListBullet"/>
      </w:pPr>
      <w:r>
        <w:t>For each feature, the provided results include positive/control means, mean paired difference, paired Cohen’s d, 95% confidence interval, p-value, BH-adjusted q-value, and an FDR significance indicator.</w:t>
      </w:r>
    </w:p>
    <w:p>
      <w:pPr>
        <w:pStyle w:val="ListBullet"/>
      </w:pPr>
      <w:r>
        <w:t>Leakage testing reported separately: 3,015 of 3,015 sampled historical recomputation checks passed across 45 robot-days. This does not establish the absence of all upstream timestamp, label, or split leakage.</w:t>
      </w:r>
    </w:p>
    <w:p>
      <w:pPr>
        <w:pStyle w:val="Heading1"/>
      </w:pPr>
      <w:r>
        <w:t>Leading observed signals</w:t>
      </w:r>
    </w:p>
    <w:tbl>
      <w:tblPr>
        <w:tblStyle w:val="LightShading-Accent1"/>
        <w:tblW w:type="auto" w:w="0"/>
        <w:tblLook w:firstColumn="1" w:firstRow="1" w:lastColumn="0" w:lastRow="0" w:noHBand="0" w:noVBand="1" w:val="04A0"/>
      </w:tblPr>
      <w:tblGrid>
        <w:gridCol w:w="1728"/>
        <w:gridCol w:w="1728"/>
        <w:gridCol w:w="1728"/>
        <w:gridCol w:w="1728"/>
        <w:gridCol w:w="1728"/>
      </w:tblGrid>
      <w:tr>
        <w:trPr>
          <w:cantSplit/>
          <w:tblHeader w:val="true"/>
        </w:trPr>
        <w:tc>
          <w:tcPr>
            <w:tcW w:type="dxa" w:w="1728"/>
          </w:tcPr>
          <w:p>
            <w:r>
              <w:rPr>
                <w:sz w:val="16"/>
              </w:rPr>
              <w:t>Feature</w:t>
            </w:r>
          </w:p>
        </w:tc>
        <w:tc>
          <w:tcPr>
            <w:tcW w:type="dxa" w:w="1728"/>
          </w:tcPr>
          <w:p>
            <w:r>
              <w:rPr>
                <w:sz w:val="16"/>
              </w:rPr>
              <w:t>Paired diff.</w:t>
            </w:r>
          </w:p>
        </w:tc>
        <w:tc>
          <w:tcPr>
            <w:tcW w:type="dxa" w:w="1728"/>
          </w:tcPr>
          <w:p>
            <w:r>
              <w:rPr>
                <w:sz w:val="16"/>
              </w:rPr>
              <w:t>Cohen’s d</w:t>
            </w:r>
          </w:p>
        </w:tc>
        <w:tc>
          <w:tcPr>
            <w:tcW w:type="dxa" w:w="1728"/>
          </w:tcPr>
          <w:p>
            <w:r>
              <w:rPr>
                <w:sz w:val="16"/>
              </w:rPr>
              <w:t>95% CI (diff.)</w:t>
            </w:r>
          </w:p>
        </w:tc>
        <w:tc>
          <w:tcPr>
            <w:tcW w:type="dxa" w:w="1728"/>
          </w:tcPr>
          <w:p>
            <w:r>
              <w:rPr>
                <w:sz w:val="16"/>
              </w:rPr>
              <w:t>BH q-value</w:t>
            </w:r>
          </w:p>
        </w:tc>
      </w:tr>
      <w:tr>
        <w:trPr>
          <w:cantSplit/>
        </w:trPr>
        <w:tc>
          <w:tcPr>
            <w:tcW w:type="dxa" w:w="1728"/>
          </w:tcPr>
          <w:p>
            <w:r>
              <w:rPr>
                <w:sz w:val="16"/>
              </w:rPr>
              <w:t>charge_cycles_30d_mean</w:t>
            </w:r>
          </w:p>
        </w:tc>
        <w:tc>
          <w:tcPr>
            <w:tcW w:type="dxa" w:w="1728"/>
          </w:tcPr>
          <w:p>
            <w:r>
              <w:rPr>
                <w:sz w:val="16"/>
              </w:rPr>
              <w:t>+12.197</w:t>
            </w:r>
          </w:p>
        </w:tc>
        <w:tc>
          <w:tcPr>
            <w:tcW w:type="dxa" w:w="1728"/>
          </w:tcPr>
          <w:p>
            <w:r>
              <w:rPr>
                <w:sz w:val="16"/>
              </w:rPr>
              <w:t>+2.26</w:t>
            </w:r>
          </w:p>
        </w:tc>
        <w:tc>
          <w:tcPr>
            <w:tcW w:type="dxa" w:w="1728"/>
          </w:tcPr>
          <w:p>
            <w:r>
              <w:rPr>
                <w:sz w:val="16"/>
              </w:rPr>
              <w:t>[11.726, 12.647]</w:t>
            </w:r>
          </w:p>
        </w:tc>
        <w:tc>
          <w:tcPr>
            <w:tcW w:type="dxa" w:w="1728"/>
          </w:tcPr>
          <w:p>
            <w:r>
              <w:rPr>
                <w:sz w:val="16"/>
              </w:rPr>
              <w:t>1.11e-203</w:t>
            </w:r>
          </w:p>
        </w:tc>
      </w:tr>
      <w:tr>
        <w:trPr>
          <w:cantSplit/>
        </w:trPr>
        <w:tc>
          <w:tcPr>
            <w:tcW w:type="dxa" w:w="1728"/>
          </w:tcPr>
          <w:p>
            <w:r>
              <w:rPr>
                <w:sz w:val="16"/>
              </w:rPr>
              <w:t>charge_cycles_7d_last</w:t>
            </w:r>
          </w:p>
        </w:tc>
        <w:tc>
          <w:tcPr>
            <w:tcW w:type="dxa" w:w="1728"/>
          </w:tcPr>
          <w:p>
            <w:r>
              <w:rPr>
                <w:sz w:val="16"/>
              </w:rPr>
              <w:t>+12.029</w:t>
            </w:r>
          </w:p>
        </w:tc>
        <w:tc>
          <w:tcPr>
            <w:tcW w:type="dxa" w:w="1728"/>
          </w:tcPr>
          <w:p>
            <w:r>
              <w:rPr>
                <w:sz w:val="16"/>
              </w:rPr>
              <w:t>+2.22</w:t>
            </w:r>
          </w:p>
        </w:tc>
        <w:tc>
          <w:tcPr>
            <w:tcW w:type="dxa" w:w="1728"/>
          </w:tcPr>
          <w:p>
            <w:r>
              <w:rPr>
                <w:sz w:val="16"/>
              </w:rPr>
              <w:t>[11.572, 12.456]</w:t>
            </w:r>
          </w:p>
        </w:tc>
        <w:tc>
          <w:tcPr>
            <w:tcW w:type="dxa" w:w="1728"/>
          </w:tcPr>
          <w:p>
            <w:r>
              <w:rPr>
                <w:sz w:val="16"/>
              </w:rPr>
              <w:t>6.58e-201</w:t>
            </w:r>
          </w:p>
        </w:tc>
      </w:tr>
      <w:tr>
        <w:trPr>
          <w:cantSplit/>
        </w:trPr>
        <w:tc>
          <w:tcPr>
            <w:tcW w:type="dxa" w:w="1728"/>
          </w:tcPr>
          <w:p>
            <w:r>
              <w:rPr>
                <w:sz w:val="16"/>
              </w:rPr>
              <w:t>charge_cycles_30d_last</w:t>
            </w:r>
          </w:p>
        </w:tc>
        <w:tc>
          <w:tcPr>
            <w:tcW w:type="dxa" w:w="1728"/>
          </w:tcPr>
          <w:p>
            <w:r>
              <w:rPr>
                <w:sz w:val="16"/>
              </w:rPr>
              <w:t>+12.029</w:t>
            </w:r>
          </w:p>
        </w:tc>
        <w:tc>
          <w:tcPr>
            <w:tcW w:type="dxa" w:w="1728"/>
          </w:tcPr>
          <w:p>
            <w:r>
              <w:rPr>
                <w:sz w:val="16"/>
              </w:rPr>
              <w:t>+2.22</w:t>
            </w:r>
          </w:p>
        </w:tc>
        <w:tc>
          <w:tcPr>
            <w:tcW w:type="dxa" w:w="1728"/>
          </w:tcPr>
          <w:p>
            <w:r>
              <w:rPr>
                <w:sz w:val="16"/>
              </w:rPr>
              <w:t>[11.562, 12.503]</w:t>
            </w:r>
          </w:p>
        </w:tc>
        <w:tc>
          <w:tcPr>
            <w:tcW w:type="dxa" w:w="1728"/>
          </w:tcPr>
          <w:p>
            <w:r>
              <w:rPr>
                <w:sz w:val="16"/>
              </w:rPr>
              <w:t>6.58e-201</w:t>
            </w:r>
          </w:p>
        </w:tc>
      </w:tr>
      <w:tr>
        <w:trPr>
          <w:cantSplit/>
        </w:trPr>
        <w:tc>
          <w:tcPr>
            <w:tcW w:type="dxa" w:w="1728"/>
          </w:tcPr>
          <w:p>
            <w:r>
              <w:rPr>
                <w:sz w:val="16"/>
              </w:rPr>
              <w:t>unit_age_days</w:t>
            </w:r>
          </w:p>
        </w:tc>
        <w:tc>
          <w:tcPr>
            <w:tcW w:type="dxa" w:w="1728"/>
          </w:tcPr>
          <w:p>
            <w:r>
              <w:rPr>
                <w:sz w:val="16"/>
              </w:rPr>
              <w:t>+12.784</w:t>
            </w:r>
          </w:p>
        </w:tc>
        <w:tc>
          <w:tcPr>
            <w:tcW w:type="dxa" w:w="1728"/>
          </w:tcPr>
          <w:p>
            <w:r>
              <w:rPr>
                <w:sz w:val="16"/>
              </w:rPr>
              <w:t>+2.21</w:t>
            </w:r>
          </w:p>
        </w:tc>
        <w:tc>
          <w:tcPr>
            <w:tcW w:type="dxa" w:w="1728"/>
          </w:tcPr>
          <w:p>
            <w:r>
              <w:rPr>
                <w:sz w:val="16"/>
              </w:rPr>
              <w:t>[12.237, 13.224]</w:t>
            </w:r>
          </w:p>
        </w:tc>
        <w:tc>
          <w:tcPr>
            <w:tcW w:type="dxa" w:w="1728"/>
          </w:tcPr>
          <w:p>
            <w:r>
              <w:rPr>
                <w:sz w:val="16"/>
              </w:rPr>
              <w:t>1.08e-199</w:t>
            </w:r>
          </w:p>
        </w:tc>
      </w:tr>
      <w:tr>
        <w:trPr>
          <w:cantSplit/>
        </w:trPr>
        <w:tc>
          <w:tcPr>
            <w:tcW w:type="dxa" w:w="1728"/>
          </w:tcPr>
          <w:p>
            <w:r>
              <w:rPr>
                <w:sz w:val="16"/>
              </w:rPr>
              <w:t>charge_cycles_7d_mean</w:t>
            </w:r>
          </w:p>
        </w:tc>
        <w:tc>
          <w:tcPr>
            <w:tcW w:type="dxa" w:w="1728"/>
          </w:tcPr>
          <w:p>
            <w:r>
              <w:rPr>
                <w:sz w:val="16"/>
              </w:rPr>
              <w:t>+12.011</w:t>
            </w:r>
          </w:p>
        </w:tc>
        <w:tc>
          <w:tcPr>
            <w:tcW w:type="dxa" w:w="1728"/>
          </w:tcPr>
          <w:p>
            <w:r>
              <w:rPr>
                <w:sz w:val="16"/>
              </w:rPr>
              <w:t>+2.13</w:t>
            </w:r>
          </w:p>
        </w:tc>
        <w:tc>
          <w:tcPr>
            <w:tcW w:type="dxa" w:w="1728"/>
          </w:tcPr>
          <w:p>
            <w:r>
              <w:rPr>
                <w:sz w:val="16"/>
              </w:rPr>
              <w:t>[11.554, 12.423]</w:t>
            </w:r>
          </w:p>
        </w:tc>
        <w:tc>
          <w:tcPr>
            <w:tcW w:type="dxa" w:w="1728"/>
          </w:tcPr>
          <w:p>
            <w:r>
              <w:rPr>
                <w:sz w:val="16"/>
              </w:rPr>
              <w:t>2.38e-193</w:t>
            </w:r>
          </w:p>
        </w:tc>
      </w:tr>
      <w:tr>
        <w:trPr>
          <w:cantSplit/>
        </w:trPr>
        <w:tc>
          <w:tcPr>
            <w:tcW w:type="dxa" w:w="1728"/>
          </w:tcPr>
          <w:p>
            <w:r>
              <w:rPr>
                <w:sz w:val="16"/>
              </w:rPr>
              <w:t>battery_capacity_pct_7d_mean</w:t>
            </w:r>
          </w:p>
        </w:tc>
        <w:tc>
          <w:tcPr>
            <w:tcW w:type="dxa" w:w="1728"/>
          </w:tcPr>
          <w:p>
            <w:r>
              <w:rPr>
                <w:sz w:val="16"/>
              </w:rPr>
              <w:t>-0.228</w:t>
            </w:r>
          </w:p>
        </w:tc>
        <w:tc>
          <w:tcPr>
            <w:tcW w:type="dxa" w:w="1728"/>
          </w:tcPr>
          <w:p>
            <w:r>
              <w:rPr>
                <w:sz w:val="16"/>
              </w:rPr>
              <w:t>-1.58</w:t>
            </w:r>
          </w:p>
        </w:tc>
        <w:tc>
          <w:tcPr>
            <w:tcW w:type="dxa" w:w="1728"/>
          </w:tcPr>
          <w:p>
            <w:r>
              <w:rPr>
                <w:sz w:val="16"/>
              </w:rPr>
              <w:t>[-0.241, -0.215]</w:t>
            </w:r>
          </w:p>
        </w:tc>
        <w:tc>
          <w:tcPr>
            <w:tcW w:type="dxa" w:w="1728"/>
          </w:tcPr>
          <w:p>
            <w:r>
              <w:rPr>
                <w:sz w:val="16"/>
              </w:rPr>
              <w:t>6.21e-142</w:t>
            </w:r>
          </w:p>
        </w:tc>
      </w:tr>
      <w:tr>
        <w:trPr>
          <w:cantSplit/>
        </w:trPr>
        <w:tc>
          <w:tcPr>
            <w:tcW w:type="dxa" w:w="1728"/>
          </w:tcPr>
          <w:p>
            <w:r>
              <w:rPr>
                <w:sz w:val="16"/>
              </w:rPr>
              <w:t>battery_capacity_pct_30d_mean</w:t>
            </w:r>
          </w:p>
        </w:tc>
        <w:tc>
          <w:tcPr>
            <w:tcW w:type="dxa" w:w="1728"/>
          </w:tcPr>
          <w:p>
            <w:r>
              <w:rPr>
                <w:sz w:val="16"/>
              </w:rPr>
              <w:t>-0.206</w:t>
            </w:r>
          </w:p>
        </w:tc>
        <w:tc>
          <w:tcPr>
            <w:tcW w:type="dxa" w:w="1728"/>
          </w:tcPr>
          <w:p>
            <w:r>
              <w:rPr>
                <w:sz w:val="16"/>
              </w:rPr>
              <w:t>-1.56</w:t>
            </w:r>
          </w:p>
        </w:tc>
        <w:tc>
          <w:tcPr>
            <w:tcW w:type="dxa" w:w="1728"/>
          </w:tcPr>
          <w:p>
            <w:r>
              <w:rPr>
                <w:sz w:val="16"/>
              </w:rPr>
              <w:t>[-0.217, -0.195]</w:t>
            </w:r>
          </w:p>
        </w:tc>
        <w:tc>
          <w:tcPr>
            <w:tcW w:type="dxa" w:w="1728"/>
          </w:tcPr>
          <w:p>
            <w:r>
              <w:rPr>
                <w:sz w:val="16"/>
              </w:rPr>
              <w:t>1.66e-139</w:t>
            </w:r>
          </w:p>
        </w:tc>
      </w:tr>
      <w:tr>
        <w:trPr>
          <w:cantSplit/>
        </w:trPr>
        <w:tc>
          <w:tcPr>
            <w:tcW w:type="dxa" w:w="1728"/>
          </w:tcPr>
          <w:p>
            <w:r>
              <w:rPr>
                <w:sz w:val="16"/>
              </w:rPr>
              <w:t>wheel_wear_pct_7d_mean</w:t>
            </w:r>
          </w:p>
        </w:tc>
        <w:tc>
          <w:tcPr>
            <w:tcW w:type="dxa" w:w="1728"/>
          </w:tcPr>
          <w:p>
            <w:r>
              <w:rPr>
                <w:sz w:val="16"/>
              </w:rPr>
              <w:t>+0.513</w:t>
            </w:r>
          </w:p>
        </w:tc>
        <w:tc>
          <w:tcPr>
            <w:tcW w:type="dxa" w:w="1728"/>
          </w:tcPr>
          <w:p>
            <w:r>
              <w:rPr>
                <w:sz w:val="16"/>
              </w:rPr>
              <w:t>+1.37</w:t>
            </w:r>
          </w:p>
        </w:tc>
        <w:tc>
          <w:tcPr>
            <w:tcW w:type="dxa" w:w="1728"/>
          </w:tcPr>
          <w:p>
            <w:r>
              <w:rPr>
                <w:sz w:val="16"/>
              </w:rPr>
              <w:t>[0.476, 0.545]</w:t>
            </w:r>
          </w:p>
        </w:tc>
        <w:tc>
          <w:tcPr>
            <w:tcW w:type="dxa" w:w="1728"/>
          </w:tcPr>
          <w:p>
            <w:r>
              <w:rPr>
                <w:sz w:val="16"/>
              </w:rPr>
              <w:t>8.44e-120</w:t>
            </w:r>
          </w:p>
        </w:tc>
      </w:tr>
      <w:tr>
        <w:trPr>
          <w:cantSplit/>
        </w:trPr>
        <w:tc>
          <w:tcPr>
            <w:tcW w:type="dxa" w:w="1728"/>
          </w:tcPr>
          <w:p>
            <w:r>
              <w:rPr>
                <w:sz w:val="16"/>
              </w:rPr>
              <w:t>wheel_wear_pct_30d_mean</w:t>
            </w:r>
          </w:p>
        </w:tc>
        <w:tc>
          <w:tcPr>
            <w:tcW w:type="dxa" w:w="1728"/>
          </w:tcPr>
          <w:p>
            <w:r>
              <w:rPr>
                <w:sz w:val="16"/>
              </w:rPr>
              <w:t>+0.588</w:t>
            </w:r>
          </w:p>
        </w:tc>
        <w:tc>
          <w:tcPr>
            <w:tcW w:type="dxa" w:w="1728"/>
          </w:tcPr>
          <w:p>
            <w:r>
              <w:rPr>
                <w:sz w:val="16"/>
              </w:rPr>
              <w:t>+1.23</w:t>
            </w:r>
          </w:p>
        </w:tc>
        <w:tc>
          <w:tcPr>
            <w:tcW w:type="dxa" w:w="1728"/>
          </w:tcPr>
          <w:p>
            <w:r>
              <w:rPr>
                <w:sz w:val="16"/>
              </w:rPr>
              <w:t>[0.548, 0.630]</w:t>
            </w:r>
          </w:p>
        </w:tc>
        <w:tc>
          <w:tcPr>
            <w:tcW w:type="dxa" w:w="1728"/>
          </w:tcPr>
          <w:p>
            <w:r>
              <w:rPr>
                <w:sz w:val="16"/>
              </w:rPr>
              <w:t>7.09e-105</w:t>
            </w:r>
          </w:p>
        </w:tc>
      </w:tr>
      <w:tr>
        <w:trPr>
          <w:cantSplit/>
        </w:trPr>
        <w:tc>
          <w:tcPr>
            <w:tcW w:type="dxa" w:w="1728"/>
          </w:tcPr>
          <w:p>
            <w:r>
              <w:rPr>
                <w:sz w:val="16"/>
              </w:rPr>
              <w:t>motor_current_a_30d_mean</w:t>
            </w:r>
          </w:p>
        </w:tc>
        <w:tc>
          <w:tcPr>
            <w:tcW w:type="dxa" w:w="1728"/>
          </w:tcPr>
          <w:p>
            <w:r>
              <w:rPr>
                <w:sz w:val="16"/>
              </w:rPr>
              <w:t>+0.051</w:t>
            </w:r>
          </w:p>
        </w:tc>
        <w:tc>
          <w:tcPr>
            <w:tcW w:type="dxa" w:w="1728"/>
          </w:tcPr>
          <w:p>
            <w:r>
              <w:rPr>
                <w:sz w:val="16"/>
              </w:rPr>
              <w:t>+0.92</w:t>
            </w:r>
          </w:p>
        </w:tc>
        <w:tc>
          <w:tcPr>
            <w:tcW w:type="dxa" w:w="1728"/>
          </w:tcPr>
          <w:p>
            <w:r>
              <w:rPr>
                <w:sz w:val="16"/>
              </w:rPr>
              <w:t>[0.046, 0.055]</w:t>
            </w:r>
          </w:p>
        </w:tc>
        <w:tc>
          <w:tcPr>
            <w:tcW w:type="dxa" w:w="1728"/>
          </w:tcPr>
          <w:p>
            <w:r>
              <w:rPr>
                <w:sz w:val="16"/>
              </w:rPr>
              <w:t>1.92e-70</w:t>
            </w:r>
          </w:p>
        </w:tc>
      </w:tr>
    </w:tbl>
    <w:p>
      <w:r>
        <w:t>Directionality: higher charge cycles, unit age, wheel wear and motor current, together with lower battery capacity, are associated with positive windows in the reported matched analysis. Closely related rolling windows and cumulative age variables should not be interpreted as independent mechanisms.</w:t>
      </w:r>
    </w:p>
    <w:p>
      <w:pPr>
        <w:pStyle w:val="Heading1"/>
      </w:pPr>
      <w:r>
        <w:t>Train-to-validation feature stability</w:t>
      </w:r>
    </w:p>
    <w:p>
      <w:r>
        <w:t>The provided stability file reports train/validation coverage, means and standardized mean shifts for 68 numeric fields. Largest absolute shifts are shown below; shifts may reflect the chronological split and fleet aging rather than implementation errors.</w:t>
      </w:r>
    </w:p>
    <w:tbl>
      <w:tblPr>
        <w:tblStyle w:val="LightShading-Accent1"/>
        <w:tblW w:type="auto" w:w="0"/>
        <w:tblLook w:firstColumn="1" w:firstRow="1" w:lastColumn="0" w:lastRow="0" w:noHBand="0" w:noVBand="1" w:val="04A0"/>
      </w:tblPr>
      <w:tblGrid>
        <w:gridCol w:w="2160"/>
        <w:gridCol w:w="2160"/>
        <w:gridCol w:w="2160"/>
        <w:gridCol w:w="2160"/>
      </w:tblGrid>
      <w:tr>
        <w:trPr>
          <w:cantSplit/>
          <w:tblHeader w:val="true"/>
        </w:trPr>
        <w:tc>
          <w:tcPr>
            <w:tcW w:type="dxa" w:w="2160"/>
          </w:tcPr>
          <w:p>
            <w:r>
              <w:rPr>
                <w:sz w:val="16"/>
              </w:rPr>
              <w:t>Feature</w:t>
            </w:r>
          </w:p>
        </w:tc>
        <w:tc>
          <w:tcPr>
            <w:tcW w:type="dxa" w:w="2160"/>
          </w:tcPr>
          <w:p>
            <w:r>
              <w:rPr>
                <w:sz w:val="16"/>
              </w:rPr>
              <w:t>Train coverage</w:t>
            </w:r>
          </w:p>
        </w:tc>
        <w:tc>
          <w:tcPr>
            <w:tcW w:type="dxa" w:w="2160"/>
          </w:tcPr>
          <w:p>
            <w:r>
              <w:rPr>
                <w:sz w:val="16"/>
              </w:rPr>
              <w:t>Validation coverage</w:t>
            </w:r>
          </w:p>
        </w:tc>
        <w:tc>
          <w:tcPr>
            <w:tcW w:type="dxa" w:w="2160"/>
          </w:tcPr>
          <w:p>
            <w:r>
              <w:rPr>
                <w:sz w:val="16"/>
              </w:rPr>
              <w:t>Std. mean shift</w:t>
            </w:r>
          </w:p>
        </w:tc>
      </w:tr>
      <w:tr>
        <w:trPr>
          <w:cantSplit/>
        </w:trPr>
        <w:tc>
          <w:tcPr>
            <w:tcW w:type="dxa" w:w="2160"/>
          </w:tcPr>
          <w:p>
            <w:r>
              <w:rPr>
                <w:sz w:val="16"/>
              </w:rPr>
              <w:t>charge_cycles_30d_mean</w:t>
            </w:r>
          </w:p>
        </w:tc>
        <w:tc>
          <w:tcPr>
            <w:tcW w:type="dxa" w:w="2160"/>
          </w:tcPr>
          <w:p>
            <w:r>
              <w:rPr>
                <w:sz w:val="16"/>
              </w:rPr>
              <w:t>99.7%</w:t>
            </w:r>
          </w:p>
        </w:tc>
        <w:tc>
          <w:tcPr>
            <w:tcW w:type="dxa" w:w="2160"/>
          </w:tcPr>
          <w:p>
            <w:r>
              <w:rPr>
                <w:sz w:val="16"/>
              </w:rPr>
              <w:t>100.0%</w:t>
            </w:r>
          </w:p>
        </w:tc>
        <w:tc>
          <w:tcPr>
            <w:tcW w:type="dxa" w:w="2160"/>
          </w:tcPr>
          <w:p>
            <w:r>
              <w:rPr>
                <w:sz w:val="16"/>
              </w:rPr>
              <w:t>+2.497</w:t>
            </w:r>
          </w:p>
        </w:tc>
      </w:tr>
      <w:tr>
        <w:trPr>
          <w:cantSplit/>
        </w:trPr>
        <w:tc>
          <w:tcPr>
            <w:tcW w:type="dxa" w:w="2160"/>
          </w:tcPr>
          <w:p>
            <w:r>
              <w:rPr>
                <w:sz w:val="16"/>
              </w:rPr>
              <w:t>charge_cycles_7d_mean</w:t>
            </w:r>
          </w:p>
        </w:tc>
        <w:tc>
          <w:tcPr>
            <w:tcW w:type="dxa" w:w="2160"/>
          </w:tcPr>
          <w:p>
            <w:r>
              <w:rPr>
                <w:sz w:val="16"/>
              </w:rPr>
              <w:t>99.7%</w:t>
            </w:r>
          </w:p>
        </w:tc>
        <w:tc>
          <w:tcPr>
            <w:tcW w:type="dxa" w:w="2160"/>
          </w:tcPr>
          <w:p>
            <w:r>
              <w:rPr>
                <w:sz w:val="16"/>
              </w:rPr>
              <w:t>100.0%</w:t>
            </w:r>
          </w:p>
        </w:tc>
        <w:tc>
          <w:tcPr>
            <w:tcW w:type="dxa" w:w="2160"/>
          </w:tcPr>
          <w:p>
            <w:r>
              <w:rPr>
                <w:sz w:val="16"/>
              </w:rPr>
              <w:t>+2.472</w:t>
            </w:r>
          </w:p>
        </w:tc>
      </w:tr>
      <w:tr>
        <w:trPr>
          <w:cantSplit/>
        </w:trPr>
        <w:tc>
          <w:tcPr>
            <w:tcW w:type="dxa" w:w="2160"/>
          </w:tcPr>
          <w:p>
            <w:r>
              <w:rPr>
                <w:sz w:val="16"/>
              </w:rPr>
              <w:t>charge_cycles_7d_last</w:t>
            </w:r>
          </w:p>
        </w:tc>
        <w:tc>
          <w:tcPr>
            <w:tcW w:type="dxa" w:w="2160"/>
          </w:tcPr>
          <w:p>
            <w:r>
              <w:rPr>
                <w:sz w:val="16"/>
              </w:rPr>
              <w:t>99.7%</w:t>
            </w:r>
          </w:p>
        </w:tc>
        <w:tc>
          <w:tcPr>
            <w:tcW w:type="dxa" w:w="2160"/>
          </w:tcPr>
          <w:p>
            <w:r>
              <w:rPr>
                <w:sz w:val="16"/>
              </w:rPr>
              <w:t>100.0%</w:t>
            </w:r>
          </w:p>
        </w:tc>
        <w:tc>
          <w:tcPr>
            <w:tcW w:type="dxa" w:w="2160"/>
          </w:tcPr>
          <w:p>
            <w:r>
              <w:rPr>
                <w:sz w:val="16"/>
              </w:rPr>
              <w:t>+2.471</w:t>
            </w:r>
          </w:p>
        </w:tc>
      </w:tr>
      <w:tr>
        <w:trPr>
          <w:cantSplit/>
        </w:trPr>
        <w:tc>
          <w:tcPr>
            <w:tcW w:type="dxa" w:w="2160"/>
          </w:tcPr>
          <w:p>
            <w:r>
              <w:rPr>
                <w:sz w:val="16"/>
              </w:rPr>
              <w:t>charge_cycles_30d_last</w:t>
            </w:r>
          </w:p>
        </w:tc>
        <w:tc>
          <w:tcPr>
            <w:tcW w:type="dxa" w:w="2160"/>
          </w:tcPr>
          <w:p>
            <w:r>
              <w:rPr>
                <w:sz w:val="16"/>
              </w:rPr>
              <w:t>99.7%</w:t>
            </w:r>
          </w:p>
        </w:tc>
        <w:tc>
          <w:tcPr>
            <w:tcW w:type="dxa" w:w="2160"/>
          </w:tcPr>
          <w:p>
            <w:r>
              <w:rPr>
                <w:sz w:val="16"/>
              </w:rPr>
              <w:t>100.0%</w:t>
            </w:r>
          </w:p>
        </w:tc>
        <w:tc>
          <w:tcPr>
            <w:tcW w:type="dxa" w:w="2160"/>
          </w:tcPr>
          <w:p>
            <w:r>
              <w:rPr>
                <w:sz w:val="16"/>
              </w:rPr>
              <w:t>+2.471</w:t>
            </w:r>
          </w:p>
        </w:tc>
      </w:tr>
      <w:tr>
        <w:trPr>
          <w:cantSplit/>
        </w:trPr>
        <w:tc>
          <w:tcPr>
            <w:tcW w:type="dxa" w:w="2160"/>
          </w:tcPr>
          <w:p>
            <w:r>
              <w:rPr>
                <w:sz w:val="16"/>
              </w:rPr>
              <w:t>battery_capacity_pct_30d_mean</w:t>
            </w:r>
          </w:p>
        </w:tc>
        <w:tc>
          <w:tcPr>
            <w:tcW w:type="dxa" w:w="2160"/>
          </w:tcPr>
          <w:p>
            <w:r>
              <w:rPr>
                <w:sz w:val="16"/>
              </w:rPr>
              <w:t>99.7%</w:t>
            </w:r>
          </w:p>
        </w:tc>
        <w:tc>
          <w:tcPr>
            <w:tcW w:type="dxa" w:w="2160"/>
          </w:tcPr>
          <w:p>
            <w:r>
              <w:rPr>
                <w:sz w:val="16"/>
              </w:rPr>
              <w:t>100.0%</w:t>
            </w:r>
          </w:p>
        </w:tc>
        <w:tc>
          <w:tcPr>
            <w:tcW w:type="dxa" w:w="2160"/>
          </w:tcPr>
          <w:p>
            <w:r>
              <w:rPr>
                <w:sz w:val="16"/>
              </w:rPr>
              <w:t>-2.376</w:t>
            </w:r>
          </w:p>
        </w:tc>
      </w:tr>
      <w:tr>
        <w:trPr>
          <w:cantSplit/>
        </w:trPr>
        <w:tc>
          <w:tcPr>
            <w:tcW w:type="dxa" w:w="2160"/>
          </w:tcPr>
          <w:p>
            <w:r>
              <w:rPr>
                <w:sz w:val="16"/>
              </w:rPr>
              <w:t>battery_capacity_pct_7d_mean</w:t>
            </w:r>
          </w:p>
        </w:tc>
        <w:tc>
          <w:tcPr>
            <w:tcW w:type="dxa" w:w="2160"/>
          </w:tcPr>
          <w:p>
            <w:r>
              <w:rPr>
                <w:sz w:val="16"/>
              </w:rPr>
              <w:t>99.7%</w:t>
            </w:r>
          </w:p>
        </w:tc>
        <w:tc>
          <w:tcPr>
            <w:tcW w:type="dxa" w:w="2160"/>
          </w:tcPr>
          <w:p>
            <w:r>
              <w:rPr>
                <w:sz w:val="16"/>
              </w:rPr>
              <w:t>100.0%</w:t>
            </w:r>
          </w:p>
        </w:tc>
        <w:tc>
          <w:tcPr>
            <w:tcW w:type="dxa" w:w="2160"/>
          </w:tcPr>
          <w:p>
            <w:r>
              <w:rPr>
                <w:sz w:val="16"/>
              </w:rPr>
              <w:t>-2.309</w:t>
            </w:r>
          </w:p>
        </w:tc>
      </w:tr>
      <w:tr>
        <w:trPr>
          <w:cantSplit/>
        </w:trPr>
        <w:tc>
          <w:tcPr>
            <w:tcW w:type="dxa" w:w="2160"/>
          </w:tcPr>
          <w:p>
            <w:r>
              <w:rPr>
                <w:sz w:val="16"/>
              </w:rPr>
              <w:t>battery_capacity_pct_7d_last</w:t>
            </w:r>
          </w:p>
        </w:tc>
        <w:tc>
          <w:tcPr>
            <w:tcW w:type="dxa" w:w="2160"/>
          </w:tcPr>
          <w:p>
            <w:r>
              <w:rPr>
                <w:sz w:val="16"/>
              </w:rPr>
              <w:t>99.7%</w:t>
            </w:r>
          </w:p>
        </w:tc>
        <w:tc>
          <w:tcPr>
            <w:tcW w:type="dxa" w:w="2160"/>
          </w:tcPr>
          <w:p>
            <w:r>
              <w:rPr>
                <w:sz w:val="16"/>
              </w:rPr>
              <w:t>100.0%</w:t>
            </w:r>
          </w:p>
        </w:tc>
        <w:tc>
          <w:tcPr>
            <w:tcW w:type="dxa" w:w="2160"/>
          </w:tcPr>
          <w:p>
            <w:r>
              <w:rPr>
                <w:sz w:val="16"/>
              </w:rPr>
              <w:t>-2.185</w:t>
            </w:r>
          </w:p>
        </w:tc>
      </w:tr>
      <w:tr>
        <w:trPr>
          <w:cantSplit/>
        </w:trPr>
        <w:tc>
          <w:tcPr>
            <w:tcW w:type="dxa" w:w="2160"/>
          </w:tcPr>
          <w:p>
            <w:r>
              <w:rPr>
                <w:sz w:val="16"/>
              </w:rPr>
              <w:t>battery_capacity_pct_30d_last</w:t>
            </w:r>
          </w:p>
        </w:tc>
        <w:tc>
          <w:tcPr>
            <w:tcW w:type="dxa" w:w="2160"/>
          </w:tcPr>
          <w:p>
            <w:r>
              <w:rPr>
                <w:sz w:val="16"/>
              </w:rPr>
              <w:t>99.7%</w:t>
            </w:r>
          </w:p>
        </w:tc>
        <w:tc>
          <w:tcPr>
            <w:tcW w:type="dxa" w:w="2160"/>
          </w:tcPr>
          <w:p>
            <w:r>
              <w:rPr>
                <w:sz w:val="16"/>
              </w:rPr>
              <w:t>100.0%</w:t>
            </w:r>
          </w:p>
        </w:tc>
        <w:tc>
          <w:tcPr>
            <w:tcW w:type="dxa" w:w="2160"/>
          </w:tcPr>
          <w:p>
            <w:r>
              <w:rPr>
                <w:sz w:val="16"/>
              </w:rPr>
              <w:t>-2.185</w:t>
            </w:r>
          </w:p>
        </w:tc>
      </w:tr>
    </w:tbl>
    <w:p>
      <w:pPr>
        <w:pStyle w:val="Heading1"/>
      </w:pPr>
      <w:r>
        <w:t>Interpretation and limitations</w:t>
      </w:r>
    </w:p>
    <w:p>
      <w:pPr>
        <w:pStyle w:val="ListBullet"/>
      </w:pPr>
      <w:r>
        <w:t>Overlapping seven-day outcome windows create dependence among robot-days; nominal p-values and confidence intervals should be treated as exploratory, not confirmatory.</w:t>
      </w:r>
    </w:p>
    <w:p>
      <w:pPr>
        <w:pStyle w:val="ListBullet"/>
      </w:pPr>
      <w:r>
        <w:t>Age and cumulative charge-cycle features may reflect exposure duration or secular trends. Analyze short-horizon changes conditional on age and site before claiming early-warning value.</w:t>
      </w:r>
    </w:p>
    <w:p>
      <w:pPr>
        <w:pStyle w:val="ListBullet"/>
      </w:pPr>
      <w:r>
        <w:t>Pre-failure lead time is not quantified by these two CSVs. A lead-time curve requires event-aligned trajectories at several pre-fault horizons.</w:t>
      </w:r>
    </w:p>
    <w:p>
      <w:pPr>
        <w:pStyle w:val="ListBullet"/>
      </w:pPr>
      <w:r>
        <w:t>Only train-to-validation stability is supplied; cross-site stability and subgroup-specific effects are not established by these files.</w:t>
      </w:r>
    </w:p>
    <w:p>
      <w:pPr>
        <w:pStyle w:val="ListBullet"/>
      </w:pPr>
      <w:r>
        <w:t>The provided dictionary uses generic definitions for all 67 features. Exact computation formulas and source-time availability require review of W03_build_features.py.</w:t>
      </w:r>
    </w:p>
    <w:p>
      <w:pPr>
        <w:pStyle w:val="ListBullet"/>
      </w:pPr>
      <w:r>
        <w:t>All findings are derived from simulated fleet data and should not be presented as real-world robot reliability evidence.</w:t>
      </w:r>
    </w:p>
    <w:p>
      <w:pPr>
        <w:pStyle w:val="Heading1"/>
      </w:pPr>
      <w:r>
        <w:t>Next checks</w:t>
      </w:r>
    </w:p>
    <w:p>
      <w:r>
        <w:t>Audit upstream event timestamps and seven-day label boundaries; inspect feature calculations and missingness by site; compare signals after conditioning on robot age; perform event-level or block-bootstrap uncertainty estimation; and quantify lead-time before Week 4 model development.</w:t>
      </w:r>
    </w:p>
    <w:p>
      <w:r>
        <w:t>Sources: W03_signal_analysis.csv; W03_feature_stability.csv; W03_feature_dictionary.csv; terminal summaries provided for Week 3 pipeline and leakage tests.</w:t>
      </w:r>
    </w:p>
    <w:sectPr w:rsidR="00FC693F" w:rsidRPr="0006063C" w:rsidSect="00034616">
      <w:pgSz w:w="12240" w:h="15840"/>
      <w:pgMar w:top="1440" w:right="1800" w:bottom="1440" w:left="180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