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4"/>
        </w:rPr>
        <w:t>Equity Implications of Federal-Local Cost-Sharing in Flood Buyouts: A Game-Theoretic Analysis with Heterogeneous Homeowners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 w:val="0"/>
          <w:sz w:val="24"/>
        </w:rPr>
        <w:t>Yuqun Zhou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 w:val="0"/>
          <w:sz w:val="24"/>
        </w:rPr>
        <w:t>Department of Industrial Engineering, University of Wisconsin-Madison, Madison, WI 53706, USA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 w:val="0"/>
          <w:sz w:val="24"/>
        </w:rPr>
        <w:t>Word count: approximately 5,000 words (including references)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24"/>
        </w:rPr>
        <w:t>Corresponding Author: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 w:val="0"/>
          <w:sz w:val="24"/>
        </w:rPr>
        <w:t>Yuqun Zhou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 w:val="0"/>
          <w:sz w:val="24"/>
        </w:rPr>
        <w:t>Department of Industrial Engineering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 w:val="0"/>
          <w:sz w:val="24"/>
        </w:rPr>
        <w:t>University of Wisconsin-Madison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 w:val="0"/>
          <w:sz w:val="24"/>
        </w:rPr>
        <w:t>Madison, WI 53706, USA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 w:val="0"/>
          <w:sz w:val="24"/>
        </w:rPr>
        <w:t>Email: yzhou364@wisc.edu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24"/>
        </w:rPr>
        <w:t>Acknowledgments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 w:val="0"/>
          <w:sz w:val="24"/>
        </w:rPr>
        <w:t>The author thanks Vicki M. Bier for valuable discussions and feedback on earlier versions of this work.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