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EB487" w14:textId="77777777" w:rsidR="005A5B25" w:rsidRPr="003075D2" w:rsidRDefault="005A5B25" w:rsidP="005A5B25">
      <w:pPr>
        <w:pStyle w:val="Title"/>
        <w:rPr>
          <w:rFonts w:ascii="Calibri" w:hAnsi="Calibri"/>
          <w:sz w:val="40"/>
        </w:rPr>
      </w:pPr>
      <w:r w:rsidRPr="003075D2">
        <w:rPr>
          <w:rFonts w:ascii="Calibri" w:hAnsi="Calibri"/>
          <w:sz w:val="40"/>
        </w:rPr>
        <w:t>MEMORANDUM</w:t>
      </w:r>
    </w:p>
    <w:p w14:paraId="419085FF" w14:textId="77777777" w:rsidR="005A5B25" w:rsidRPr="003075D2" w:rsidRDefault="005A5B25" w:rsidP="005A5B25">
      <w:pPr>
        <w:rPr>
          <w:rFonts w:ascii="Calibri" w:hAnsi="Calibri"/>
        </w:rPr>
      </w:pPr>
    </w:p>
    <w:p w14:paraId="60715124" w14:textId="77777777" w:rsidR="005A5B25" w:rsidRPr="003075D2" w:rsidRDefault="005A5B25" w:rsidP="005A5B25">
      <w:pPr>
        <w:rPr>
          <w:rFonts w:ascii="Calibri" w:hAnsi="Calibri"/>
        </w:rPr>
      </w:pPr>
      <w:r w:rsidRPr="003075D2">
        <w:rPr>
          <w:rFonts w:ascii="Calibri" w:hAnsi="Calibri"/>
        </w:rPr>
        <w:t>-------------------------------------------------------------------------------------------------------------------------------</w:t>
      </w:r>
    </w:p>
    <w:p w14:paraId="5D740870" w14:textId="6E99B64A" w:rsidR="005A5B25" w:rsidRDefault="005A5B25" w:rsidP="005A5B25">
      <w:pPr>
        <w:rPr>
          <w:rFonts w:ascii="Calibri" w:hAnsi="Calibri"/>
          <w:sz w:val="28"/>
        </w:rPr>
      </w:pPr>
      <w:r>
        <w:rPr>
          <w:rFonts w:ascii="Calibri" w:hAnsi="Calibri"/>
          <w:sz w:val="28"/>
        </w:rPr>
        <w:t xml:space="preserve">Development of Fine Grained Spatial Resolution for an Integrated HIA Tool </w:t>
      </w:r>
    </w:p>
    <w:p w14:paraId="7642B32F" w14:textId="5DFCB945" w:rsidR="005A5B25" w:rsidRDefault="005A5B25" w:rsidP="005A5B25">
      <w:pPr>
        <w:rPr>
          <w:rFonts w:ascii="Calibri" w:hAnsi="Calibri"/>
          <w:sz w:val="28"/>
        </w:rPr>
      </w:pPr>
      <w:r>
        <w:rPr>
          <w:rFonts w:ascii="Calibri" w:hAnsi="Calibri"/>
          <w:sz w:val="28"/>
        </w:rPr>
        <w:t>for the Sacramento Region</w:t>
      </w:r>
    </w:p>
    <w:p w14:paraId="77E0FB7F" w14:textId="435C62E9" w:rsidR="005A5B25" w:rsidRDefault="005A5B25" w:rsidP="005A5B25">
      <w:pPr>
        <w:rPr>
          <w:rFonts w:ascii="Calibri" w:hAnsi="Calibri"/>
          <w:sz w:val="28"/>
        </w:rPr>
      </w:pPr>
    </w:p>
    <w:p w14:paraId="4A4B4C20" w14:textId="7D1413EF" w:rsidR="005A5B25" w:rsidRDefault="005A5B25" w:rsidP="005A5B25">
      <w:pPr>
        <w:rPr>
          <w:rFonts w:ascii="Calibri" w:hAnsi="Calibri"/>
          <w:sz w:val="28"/>
        </w:rPr>
      </w:pPr>
      <w:r>
        <w:rPr>
          <w:rFonts w:ascii="Calibri" w:hAnsi="Calibri"/>
          <w:sz w:val="28"/>
        </w:rPr>
        <w:t>ITHIM-Sac Phase II</w:t>
      </w:r>
    </w:p>
    <w:p w14:paraId="05E3526D" w14:textId="66685705" w:rsidR="005A5B25" w:rsidRPr="003075D2" w:rsidRDefault="005A5B25" w:rsidP="005A5B25">
      <w:pPr>
        <w:rPr>
          <w:rFonts w:ascii="Calibri" w:hAnsi="Calibri" w:hint="eastAsia"/>
          <w:sz w:val="28"/>
        </w:rPr>
      </w:pPr>
      <w:r>
        <w:rPr>
          <w:rFonts w:ascii="Calibri" w:hAnsi="Calibri" w:hint="eastAsia"/>
          <w:sz w:val="28"/>
        </w:rPr>
        <w:t>R Code Development Document</w:t>
      </w:r>
    </w:p>
    <w:p w14:paraId="0D1D26DC" w14:textId="77777777" w:rsidR="005A5B25" w:rsidRPr="003075D2" w:rsidRDefault="005A5B25" w:rsidP="005A5B25">
      <w:pPr>
        <w:rPr>
          <w:rFonts w:ascii="Calibri" w:hAnsi="Calibri"/>
        </w:rPr>
      </w:pPr>
    </w:p>
    <w:p w14:paraId="326872CE" w14:textId="3FA0D93E" w:rsidR="005A5B25" w:rsidRPr="003075D2" w:rsidRDefault="005A5B25" w:rsidP="005A5B25">
      <w:pPr>
        <w:rPr>
          <w:rFonts w:ascii="Calibri" w:hAnsi="Calibri"/>
        </w:rPr>
      </w:pPr>
      <w:r>
        <w:rPr>
          <w:rFonts w:ascii="Calibri" w:hAnsi="Calibri"/>
        </w:rPr>
        <w:t xml:space="preserve">Date: </w:t>
      </w:r>
      <w:r>
        <w:rPr>
          <w:rFonts w:ascii="Calibri" w:hAnsi="Calibri"/>
        </w:rPr>
        <w:t>Aug</w:t>
      </w:r>
      <w:r>
        <w:rPr>
          <w:rFonts w:ascii="Calibri" w:hAnsi="Calibri"/>
        </w:rPr>
        <w:t xml:space="preserve"> 25</w:t>
      </w:r>
      <w:r w:rsidRPr="003075D2">
        <w:rPr>
          <w:rFonts w:ascii="Calibri" w:hAnsi="Calibri"/>
        </w:rPr>
        <w:t>, 2017</w:t>
      </w:r>
    </w:p>
    <w:p w14:paraId="6C091B1B" w14:textId="77777777" w:rsidR="005A5B25" w:rsidRPr="003075D2" w:rsidRDefault="005A5B25" w:rsidP="005A5B25">
      <w:pPr>
        <w:rPr>
          <w:rFonts w:ascii="Calibri" w:hAnsi="Calibri"/>
        </w:rPr>
      </w:pPr>
      <w:r w:rsidRPr="003075D2">
        <w:rPr>
          <w:rFonts w:ascii="Calibri" w:hAnsi="Calibri"/>
        </w:rPr>
        <w:t>-------------------------------------------------------------------------------------------------------------------------------</w:t>
      </w:r>
    </w:p>
    <w:p w14:paraId="1D82B5C8" w14:textId="76B43606" w:rsidR="005A5B25" w:rsidRDefault="005A5B25"/>
    <w:p w14:paraId="277C9BA4" w14:textId="05C2E8DF" w:rsidR="005A5B25" w:rsidRDefault="005A5B25">
      <w:r>
        <w:t xml:space="preserve">In phase II, the fundamental method applied in Phase II is CRA, which is completely the same as the method used in Phase I. Hence, in this memo, we discuss the new data source and </w:t>
      </w:r>
      <w:r w:rsidR="00513EC9">
        <w:t xml:space="preserve">the </w:t>
      </w:r>
      <w:r>
        <w:t xml:space="preserve">data preparation </w:t>
      </w:r>
      <w:r w:rsidR="00513EC9">
        <w:t xml:space="preserve">for </w:t>
      </w:r>
      <w:r w:rsidR="00953D50">
        <w:t>ZCTA</w:t>
      </w:r>
      <w:r w:rsidR="00513EC9">
        <w:t xml:space="preserve"> level analysis.</w:t>
      </w:r>
    </w:p>
    <w:p w14:paraId="259BFAEC" w14:textId="0ADDCBDF" w:rsidR="005A5B25" w:rsidRDefault="005A5B25"/>
    <w:p w14:paraId="58BFFB4E" w14:textId="2F8A063A" w:rsidR="00513EC9" w:rsidRDefault="00513EC9" w:rsidP="00513EC9">
      <w:pPr>
        <w:pStyle w:val="Heading2"/>
        <w:rPr>
          <w:rFonts w:ascii="Calibri" w:hAnsi="Calibri"/>
          <w:i/>
          <w:color w:val="000000" w:themeColor="text1"/>
          <w:sz w:val="24"/>
          <w:u w:val="single"/>
        </w:rPr>
      </w:pPr>
      <w:r>
        <w:rPr>
          <w:rFonts w:ascii="Calibri" w:hAnsi="Calibri"/>
          <w:i/>
          <w:color w:val="000000" w:themeColor="text1"/>
          <w:sz w:val="24"/>
          <w:u w:val="single"/>
        </w:rPr>
        <w:t>Population File</w:t>
      </w:r>
      <w:r w:rsidR="00E237F2">
        <w:rPr>
          <w:rFonts w:ascii="Calibri" w:hAnsi="Calibri"/>
          <w:i/>
          <w:color w:val="000000" w:themeColor="text1"/>
          <w:sz w:val="24"/>
          <w:u w:val="single"/>
        </w:rPr>
        <w:t xml:space="preserve"> and Mortality</w:t>
      </w:r>
      <w:r>
        <w:rPr>
          <w:rFonts w:ascii="Calibri" w:hAnsi="Calibri"/>
          <w:i/>
          <w:color w:val="000000" w:themeColor="text1"/>
          <w:sz w:val="24"/>
          <w:u w:val="single"/>
        </w:rPr>
        <w:t xml:space="preserve"> at ZCTA </w:t>
      </w:r>
      <w:r>
        <w:rPr>
          <w:rFonts w:ascii="Calibri" w:hAnsi="Calibri" w:hint="eastAsia"/>
          <w:i/>
          <w:color w:val="000000" w:themeColor="text1"/>
          <w:sz w:val="24"/>
          <w:u w:val="single"/>
        </w:rPr>
        <w:t>level</w:t>
      </w:r>
    </w:p>
    <w:p w14:paraId="18DE5E79" w14:textId="25DB15BC" w:rsidR="00513EC9" w:rsidRDefault="00513EC9" w:rsidP="00513EC9"/>
    <w:p w14:paraId="0B99F3EA" w14:textId="77777777" w:rsidR="00513EC9" w:rsidRDefault="00513EC9" w:rsidP="00513EC9">
      <w:r>
        <w:t xml:space="preserve">The population file at ZCTA level is taken from Census2010. </w:t>
      </w:r>
    </w:p>
    <w:p w14:paraId="57D8997D" w14:textId="2B853531" w:rsidR="00E237F2" w:rsidRDefault="00E237F2" w:rsidP="00513EC9"/>
    <w:p w14:paraId="3056580B" w14:textId="67BDEEBC" w:rsidR="00E237F2" w:rsidRDefault="00314DBC" w:rsidP="00513EC9">
      <w:r>
        <w:t xml:space="preserve">Mortality rates are estimated at the </w:t>
      </w:r>
      <w:r>
        <w:t>ZCTA</w:t>
      </w:r>
      <w:r>
        <w:t xml:space="preserve"> level by multiplying the population distribution of each </w:t>
      </w:r>
      <w:r>
        <w:t>ZCTA</w:t>
      </w:r>
      <w:r>
        <w:rPr>
          <w:rFonts w:hint="eastAsia"/>
        </w:rPr>
        <w:t xml:space="preserve"> </w:t>
      </w:r>
      <w:r>
        <w:t xml:space="preserve">by Sacramento </w:t>
      </w:r>
      <w:r>
        <w:rPr>
          <w:rFonts w:hint="eastAsia"/>
        </w:rPr>
        <w:t>re</w:t>
      </w:r>
      <w:r>
        <w:t>gion</w:t>
      </w:r>
      <w:r>
        <w:t>-wide rates (as deaths per capita in each age-sex category).</w:t>
      </w:r>
      <w:r>
        <w:t xml:space="preserve"> The region wide rates are taken from the CDPH death files (08-10). </w:t>
      </w:r>
    </w:p>
    <w:p w14:paraId="7C7C7F94" w14:textId="4F375670" w:rsidR="00314DBC" w:rsidRDefault="00314DBC" w:rsidP="00513EC9"/>
    <w:p w14:paraId="4CEE9B1A" w14:textId="1B03E4AD" w:rsidR="00314DBC" w:rsidRDefault="00314DBC" w:rsidP="00314DBC">
      <w:r>
        <w:t>The R file to extract the population</w:t>
      </w:r>
      <w:r>
        <w:t xml:space="preserve"> and mortality</w:t>
      </w:r>
      <w:r>
        <w:t xml:space="preserve"> is “</w:t>
      </w:r>
      <w:proofErr w:type="spellStart"/>
      <w:r w:rsidRPr="00953D50">
        <w:t>Population+Mortality_zcta_level</w:t>
      </w:r>
      <w:r>
        <w:t>.R</w:t>
      </w:r>
      <w:proofErr w:type="spellEnd"/>
      <w:r>
        <w:t>.”</w:t>
      </w:r>
    </w:p>
    <w:p w14:paraId="18FBE254" w14:textId="26F9E91C" w:rsidR="00314DBC" w:rsidRDefault="00314DBC" w:rsidP="00513EC9">
      <w:r>
        <w:t>The .csv file to store the mortality rates info is “</w:t>
      </w:r>
      <w:r w:rsidRPr="00314DBC">
        <w:t>RegionwideMortalityRate_SACOG</w:t>
      </w:r>
      <w:r>
        <w:t>.csv.”</w:t>
      </w:r>
    </w:p>
    <w:p w14:paraId="6D598083" w14:textId="1DA40E17" w:rsidR="00953D50" w:rsidRDefault="00953D50" w:rsidP="00513EC9"/>
    <w:p w14:paraId="348F5062" w14:textId="3BDB10C3" w:rsidR="00953D50" w:rsidRDefault="00953D50" w:rsidP="00953D50">
      <w:pPr>
        <w:pStyle w:val="Heading2"/>
        <w:rPr>
          <w:rFonts w:ascii="Calibri" w:hAnsi="Calibri"/>
          <w:i/>
          <w:color w:val="000000" w:themeColor="text1"/>
          <w:sz w:val="24"/>
          <w:u w:val="single"/>
        </w:rPr>
      </w:pPr>
      <w:r>
        <w:rPr>
          <w:rFonts w:ascii="Calibri" w:hAnsi="Calibri"/>
          <w:i/>
          <w:color w:val="000000" w:themeColor="text1"/>
          <w:sz w:val="24"/>
          <w:u w:val="single"/>
        </w:rPr>
        <w:t>ZCTA List for the Sacramento Region</w:t>
      </w:r>
    </w:p>
    <w:p w14:paraId="5E1ED172" w14:textId="5F55DCA0" w:rsidR="00953D50" w:rsidRDefault="00953D50" w:rsidP="00953D50"/>
    <w:p w14:paraId="5C200F1A" w14:textId="7FA9E941" w:rsidR="00953D50" w:rsidRDefault="00953D50" w:rsidP="00953D50">
      <w:r>
        <w:t>I picked those ZCTAs completely in SACOG’s TAZ map.</w:t>
      </w:r>
      <w:r w:rsidR="00F12077">
        <w:t xml:space="preserve"> </w:t>
      </w:r>
      <w:r>
        <w:t>The total list contains 151 ZCTAs.</w:t>
      </w:r>
      <w:r w:rsidR="00057633">
        <w:t xml:space="preserve"> </w:t>
      </w:r>
    </w:p>
    <w:p w14:paraId="34665508" w14:textId="6DD6ABD7" w:rsidR="00F12077" w:rsidRDefault="00F12077" w:rsidP="00953D50">
      <w:r>
        <w:t>The .csv file to store the ZCTA ID and ZCTAs is “</w:t>
      </w:r>
      <w:r w:rsidRPr="00F12077">
        <w:t>zcta_list_SACOG</w:t>
      </w:r>
      <w:r>
        <w:t>.csv.”</w:t>
      </w:r>
    </w:p>
    <w:p w14:paraId="5F8B38BC" w14:textId="7B0C7835" w:rsidR="00F12077" w:rsidRDefault="00F12077" w:rsidP="00953D50"/>
    <w:p w14:paraId="4D97AAFC" w14:textId="1759A3D1" w:rsidR="00F12077" w:rsidRDefault="00F12077" w:rsidP="00F12077">
      <w:pPr>
        <w:pStyle w:val="Heading2"/>
        <w:rPr>
          <w:rFonts w:ascii="Calibri" w:hAnsi="Calibri"/>
          <w:i/>
          <w:color w:val="000000" w:themeColor="text1"/>
          <w:sz w:val="24"/>
          <w:u w:val="single"/>
        </w:rPr>
      </w:pPr>
      <w:r>
        <w:rPr>
          <w:rFonts w:ascii="Calibri" w:hAnsi="Calibri"/>
          <w:i/>
          <w:color w:val="000000" w:themeColor="text1"/>
          <w:sz w:val="24"/>
          <w:u w:val="single"/>
        </w:rPr>
        <w:t xml:space="preserve">Allocation of TAZs into </w:t>
      </w:r>
      <w:r>
        <w:rPr>
          <w:rFonts w:ascii="Calibri" w:hAnsi="Calibri"/>
          <w:i/>
          <w:color w:val="000000" w:themeColor="text1"/>
          <w:sz w:val="24"/>
          <w:u w:val="single"/>
        </w:rPr>
        <w:t>ZCTA</w:t>
      </w:r>
      <w:r>
        <w:rPr>
          <w:rFonts w:ascii="Calibri" w:hAnsi="Calibri"/>
          <w:i/>
          <w:color w:val="000000" w:themeColor="text1"/>
          <w:sz w:val="24"/>
          <w:u w:val="single"/>
        </w:rPr>
        <w:t>s</w:t>
      </w:r>
    </w:p>
    <w:p w14:paraId="64EE45FE" w14:textId="23FFFC8A" w:rsidR="00F12077" w:rsidRDefault="00F12077" w:rsidP="00F12077"/>
    <w:p w14:paraId="2E87F6C0" w14:textId="6C2925CD" w:rsidR="00F12077" w:rsidRDefault="00F12077" w:rsidP="00F12077">
      <w:r>
        <w:t>Since the synthetic population in SACSIM only contains TAZ info, we need allocate those residents into ZCTAs. The area of ZCTA are larger than TAZ. Most of the TAZs are completely fall into one single ZCTA. But for those TAZ overlap more than one ZCTA, we allocate the residents according to the ratio of area. For example, TAZ 1 is 40% in ZCTA 1 and 60% in ZCTA 2. 40% of the residents in TAZ 1 will be picked and labeled with ZCTA 1, and 60% residents will be labeled with ZCTA 2.</w:t>
      </w:r>
      <w:r w:rsidR="005C1739">
        <w:t xml:space="preserve"> Then, the population file will have one more column named “ZCTA ID”, and all the following data process will be conducted according to this ID.</w:t>
      </w:r>
    </w:p>
    <w:p w14:paraId="157CCC5A" w14:textId="05DCB5A1" w:rsidR="00F12077" w:rsidRDefault="005C1739" w:rsidP="00F12077">
      <w:r>
        <w:t>The related R file is “</w:t>
      </w:r>
      <w:r w:rsidRPr="005C1739">
        <w:t>Allocation-TAZ2ZIP</w:t>
      </w:r>
      <w:r>
        <w:t>.R.”</w:t>
      </w:r>
    </w:p>
    <w:p w14:paraId="448D8E58" w14:textId="6E7CAE17" w:rsidR="002B1619" w:rsidRDefault="002B1619" w:rsidP="00640A7F"/>
    <w:p w14:paraId="4B08701B" w14:textId="5AA163C3" w:rsidR="00314DBC" w:rsidRDefault="00314DBC" w:rsidP="00314DBC">
      <w:pPr>
        <w:pStyle w:val="Heading2"/>
        <w:rPr>
          <w:rFonts w:ascii="Calibri" w:hAnsi="Calibri"/>
          <w:i/>
          <w:color w:val="000000" w:themeColor="text1"/>
          <w:sz w:val="24"/>
          <w:u w:val="single"/>
        </w:rPr>
      </w:pPr>
      <w:r>
        <w:rPr>
          <w:rFonts w:ascii="Calibri" w:hAnsi="Calibri"/>
          <w:i/>
          <w:color w:val="000000" w:themeColor="text1"/>
          <w:sz w:val="24"/>
          <w:u w:val="single"/>
        </w:rPr>
        <w:t>Baseline Traffic Injury</w:t>
      </w:r>
    </w:p>
    <w:p w14:paraId="402F8AE3" w14:textId="7C7D1EF5" w:rsidR="00640A7F" w:rsidRDefault="00640A7F" w:rsidP="00640A7F"/>
    <w:p w14:paraId="67198527" w14:textId="1261D0F1" w:rsidR="00314DBC" w:rsidRDefault="00F57E57" w:rsidP="00640A7F">
      <w:r w:rsidRPr="00F57E57">
        <w:t>The baseline injury is the annual avera</w:t>
      </w:r>
      <w:r w:rsidR="00820C3E">
        <w:t xml:space="preserve">ge number from SWITRS 2006-2016, which </w:t>
      </w:r>
      <w:r w:rsidRPr="00F57E57">
        <w:t xml:space="preserve">is stratified by </w:t>
      </w:r>
      <w:r w:rsidR="00820C3E">
        <w:t xml:space="preserve">combination of striking and victim modes, </w:t>
      </w:r>
      <w:r w:rsidRPr="00F57E57">
        <w:t>severity (fatal, serious injury) and road type (local, arterial, and highway).</w:t>
      </w:r>
      <w:r w:rsidR="00820C3E">
        <w:t xml:space="preserve"> </w:t>
      </w:r>
      <w:r w:rsidR="00820C3E">
        <w:t>Because of the disaggregation process</w:t>
      </w:r>
      <w:r w:rsidR="00820C3E">
        <w:t xml:space="preserve"> (by ZCTA)</w:t>
      </w:r>
      <w:r w:rsidR="00820C3E">
        <w:t xml:space="preserve">, baseline injuries </w:t>
      </w:r>
      <w:r w:rsidR="00820C3E">
        <w:t>in many</w:t>
      </w:r>
      <w:r w:rsidR="00820C3E">
        <w:t xml:space="preserve"> combinations of victim and striking modes equal zero even though there is a nonzero risk (e.g. areas with a risk of 0.1 </w:t>
      </w:r>
      <w:r w:rsidR="00820C3E">
        <w:t>injuries over a 10-</w:t>
      </w:r>
      <w:r w:rsidR="00820C3E">
        <w:t>year period would lead to values of zero in most cases.)</w:t>
      </w:r>
      <w:r w:rsidR="00820C3E">
        <w:t xml:space="preserve"> For this reason, we use region-wide injury rates for those combinations scaling by the VMT ratio. Since the baseline injury is related to both striking mode VMT and victim mode VMT, we consider both ratios in the scaling process. The equation is listed below.</w:t>
      </w:r>
    </w:p>
    <w:p w14:paraId="48094AC6" w14:textId="27865E2E" w:rsidR="00820C3E" w:rsidRDefault="00820C3E" w:rsidP="00640A7F"/>
    <w:p w14:paraId="68D7D2CA" w14:textId="34CD6CBF" w:rsidR="00820C3E" w:rsidRDefault="00820C3E" w:rsidP="00640A7F">
      <m:oMathPara>
        <m:oMath>
          <m:sSub>
            <m:sSubPr>
              <m:ctrlPr>
                <w:rPr>
                  <w:rFonts w:ascii="Cambria Math" w:hAnsi="Cambria Math"/>
                </w:rPr>
              </m:ctrlPr>
            </m:sSubPr>
            <m:e>
              <m:r>
                <w:rPr>
                  <w:rFonts w:ascii="Cambria Math" w:hAnsi="Cambria Math"/>
                </w:rPr>
                <m:t>Injury</m:t>
              </m:r>
            </m:e>
            <m:sub>
              <m:r>
                <w:rPr>
                  <w:rFonts w:ascii="Cambria Math" w:hAnsi="Cambria Math"/>
                </w:rPr>
                <m:t>ZCTA</m:t>
              </m:r>
            </m:sub>
          </m:sSub>
          <m:r>
            <w:rPr>
              <w:rFonts w:ascii="Cambria Math" w:hAnsi="Cambria Math"/>
            </w:rPr>
            <m:t>=</m:t>
          </m:r>
          <m:sSub>
            <m:sSubPr>
              <m:ctrlPr>
                <w:rPr>
                  <w:rFonts w:ascii="Cambria Math" w:hAnsi="Cambria Math"/>
                  <w:i/>
                </w:rPr>
              </m:ctrlPr>
            </m:sSubPr>
            <m:e>
              <m:r>
                <w:rPr>
                  <w:rFonts w:ascii="Cambria Math" w:hAnsi="Cambria Math"/>
                </w:rPr>
                <m:t>Injury</m:t>
              </m:r>
            </m:e>
            <m:sub>
              <m:r>
                <w:rPr>
                  <w:rFonts w:ascii="Cambria Math" w:hAnsi="Cambria Math"/>
                </w:rPr>
                <m:t>RegionWide</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m:t>
                              </m:r>
                            </m:e>
                            <m:sub>
                              <m:r>
                                <w:rPr>
                                  <w:rFonts w:ascii="Cambria Math" w:hAnsi="Cambria Math"/>
                                </w:rPr>
                                <m:t>striking,ZCTA</m:t>
                              </m:r>
                            </m:sub>
                          </m:sSub>
                        </m:num>
                        <m:den>
                          <m:sSub>
                            <m:sSubPr>
                              <m:ctrlPr>
                                <w:rPr>
                                  <w:rFonts w:ascii="Cambria Math" w:hAnsi="Cambria Math"/>
                                  <w:i/>
                                </w:rPr>
                              </m:ctrlPr>
                            </m:sSubPr>
                            <m:e>
                              <m:r>
                                <w:rPr>
                                  <w:rFonts w:ascii="Cambria Math" w:hAnsi="Cambria Math"/>
                                </w:rPr>
                                <m:t>VMT</m:t>
                              </m:r>
                            </m:e>
                            <m:sub>
                              <m:r>
                                <w:rPr>
                                  <w:rFonts w:ascii="Cambria Math" w:hAnsi="Cambria Math"/>
                                </w:rPr>
                                <m:t>striking,RegionWide</m:t>
                              </m:r>
                            </m:sub>
                          </m:sSub>
                        </m:den>
                      </m:f>
                    </m:e>
                  </m:d>
                </m:e>
                <m:sup>
                  <m:r>
                    <w:rPr>
                      <w:rFonts w:ascii="Cambria Math" w:hAnsi="Cambria Math"/>
                    </w:rPr>
                    <m:t>m</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m:t>
                              </m:r>
                            </m:e>
                            <m:sub>
                              <m:r>
                                <w:rPr>
                                  <w:rFonts w:ascii="Cambria Math" w:hAnsi="Cambria Math"/>
                                </w:rPr>
                                <m:t>victim,</m:t>
                              </m:r>
                              <m:r>
                                <w:rPr>
                                  <w:rFonts w:ascii="Cambria Math" w:hAnsi="Cambria Math"/>
                                </w:rPr>
                                <m:t>ZCTA</m:t>
                              </m:r>
                            </m:sub>
                          </m:sSub>
                        </m:num>
                        <m:den>
                          <m:sSub>
                            <m:sSubPr>
                              <m:ctrlPr>
                                <w:rPr>
                                  <w:rFonts w:ascii="Cambria Math" w:hAnsi="Cambria Math"/>
                                  <w:i/>
                                </w:rPr>
                              </m:ctrlPr>
                            </m:sSubPr>
                            <m:e>
                              <m:r>
                                <w:rPr>
                                  <w:rFonts w:ascii="Cambria Math" w:hAnsi="Cambria Math"/>
                                </w:rPr>
                                <m:t>VMT</m:t>
                              </m:r>
                            </m:e>
                            <m:sub>
                              <m:r>
                                <w:rPr>
                                  <w:rFonts w:ascii="Cambria Math" w:hAnsi="Cambria Math"/>
                                </w:rPr>
                                <m:t>victim,</m:t>
                              </m:r>
                              <m:r>
                                <w:rPr>
                                  <w:rFonts w:ascii="Cambria Math" w:hAnsi="Cambria Math"/>
                                </w:rPr>
                                <m:t>RegionWide</m:t>
                              </m:r>
                            </m:sub>
                          </m:sSub>
                        </m:den>
                      </m:f>
                    </m:e>
                  </m:d>
                </m:e>
                <m:sup>
                  <m:r>
                    <w:rPr>
                      <w:rFonts w:ascii="Cambria Math" w:hAnsi="Cambria Math"/>
                    </w:rPr>
                    <m:t>n</m:t>
                  </m:r>
                </m:sup>
              </m:sSup>
            </m:e>
          </m:d>
        </m:oMath>
      </m:oMathPara>
    </w:p>
    <w:p w14:paraId="19AECBD4" w14:textId="61CE341E" w:rsidR="00820C3E" w:rsidRDefault="00820C3E" w:rsidP="00640A7F"/>
    <w:p w14:paraId="3EB25444" w14:textId="02654E81" w:rsidR="00820C3E" w:rsidRDefault="00820C3E" w:rsidP="00640A7F">
      <w:r>
        <w:t xml:space="preserve">The parameter m and n are equal to 0.5, which is also used in </w:t>
      </w:r>
      <w:r w:rsidR="0083115D">
        <w:t xml:space="preserve">the traffic injury module in Neil’s </w:t>
      </w:r>
      <w:r>
        <w:t>ITHIM</w:t>
      </w:r>
      <w:r w:rsidR="0083115D">
        <w:t xml:space="preserve"> application</w:t>
      </w:r>
      <w:r>
        <w:t>.</w:t>
      </w:r>
    </w:p>
    <w:p w14:paraId="124E91F1" w14:textId="6B418837" w:rsidR="00820C3E" w:rsidRDefault="00820C3E" w:rsidP="00640A7F"/>
    <w:p w14:paraId="4C1392A0" w14:textId="71B38DDF" w:rsidR="00820C3E" w:rsidRDefault="0083115D" w:rsidP="00640A7F">
      <w:r>
        <w:t>The .csv file to store the region-wide traffic injury info is “</w:t>
      </w:r>
      <w:r w:rsidRPr="0083115D">
        <w:t>RegionWide_BaselineInjury</w:t>
      </w:r>
      <w:r>
        <w:t>.csv”.</w:t>
      </w:r>
    </w:p>
    <w:p w14:paraId="30B00673" w14:textId="750397F0" w:rsidR="0083115D" w:rsidRDefault="0083115D" w:rsidP="00640A7F">
      <w:r>
        <w:t>The R code to do the scaling is “</w:t>
      </w:r>
      <w:proofErr w:type="spellStart"/>
      <w:r w:rsidRPr="0083115D">
        <w:t>BaselineInjuryEstimationbyVMT</w:t>
      </w:r>
      <w:r>
        <w:t>.R</w:t>
      </w:r>
      <w:proofErr w:type="spellEnd"/>
      <w:r>
        <w:t>.”</w:t>
      </w:r>
    </w:p>
    <w:p w14:paraId="0D3F850F" w14:textId="77777777" w:rsidR="00820C3E" w:rsidRDefault="00820C3E" w:rsidP="00640A7F">
      <w:bookmarkStart w:id="0" w:name="_GoBack"/>
      <w:bookmarkEnd w:id="0"/>
    </w:p>
    <w:sectPr w:rsidR="00820C3E" w:rsidSect="006376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283144"/>
    <w:multiLevelType w:val="hybridMultilevel"/>
    <w:tmpl w:val="CAF00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619"/>
    <w:rsid w:val="00057633"/>
    <w:rsid w:val="002B1619"/>
    <w:rsid w:val="00314DBC"/>
    <w:rsid w:val="003931A2"/>
    <w:rsid w:val="00513EC9"/>
    <w:rsid w:val="005A5B25"/>
    <w:rsid w:val="005C1739"/>
    <w:rsid w:val="00637625"/>
    <w:rsid w:val="00640A7F"/>
    <w:rsid w:val="00820C3E"/>
    <w:rsid w:val="0083115D"/>
    <w:rsid w:val="00953D50"/>
    <w:rsid w:val="00CF1AF5"/>
    <w:rsid w:val="00E237F2"/>
    <w:rsid w:val="00F00C6C"/>
    <w:rsid w:val="00F12077"/>
    <w:rsid w:val="00F57E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FFCDA5"/>
  <w15:chartTrackingRefBased/>
  <w15:docId w15:val="{8FC1DC8C-BDFA-B343-83D8-511195F8E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5B25"/>
    <w:pPr>
      <w:keepNext/>
      <w:keepLines/>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semiHidden/>
    <w:unhideWhenUsed/>
    <w:qFormat/>
    <w:rsid w:val="00513EC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AF5"/>
    <w:pPr>
      <w:ind w:left="720"/>
      <w:contextualSpacing/>
    </w:pPr>
  </w:style>
  <w:style w:type="paragraph" w:styleId="Title">
    <w:name w:val="Title"/>
    <w:basedOn w:val="Normal"/>
    <w:next w:val="Normal"/>
    <w:link w:val="TitleChar"/>
    <w:uiPriority w:val="10"/>
    <w:qFormat/>
    <w:rsid w:val="005A5B2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5B2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A5B25"/>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semiHidden/>
    <w:rsid w:val="00513EC9"/>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820C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2</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Yizheng Wu</dc:creator>
  <cp:keywords/>
  <dc:description/>
  <cp:lastModifiedBy>Yizheng Wu</cp:lastModifiedBy>
  <cp:revision>11</cp:revision>
  <dcterms:created xsi:type="dcterms:W3CDTF">2018-06-16T16:55:00Z</dcterms:created>
  <dcterms:modified xsi:type="dcterms:W3CDTF">2018-08-04T18:16:00Z</dcterms:modified>
</cp:coreProperties>
</file>