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38307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8307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8307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38307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8307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38307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38307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38307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38307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38307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38307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E4E2F3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8E8AC6"/>
        <w:bottom w:val="single" w:sz="6" w:space="0" w:color="8E8AC6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383070"/>
        </w:tcBorders>
        <w:shd w:val="clear" w:color="auto" w:fill="383070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83070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C1B29"/>
      </a:dk1>
      <a:lt1>
        <a:srgbClr val="FFFFFF"/>
      </a:lt1>
      <a:dk2>
        <a:srgbClr val="383070"/>
      </a:dk2>
      <a:lt2>
        <a:srgbClr val="E4E2F3"/>
      </a:lt2>
      <a:accent1>
        <a:srgbClr val="5A55A0"/>
      </a:accent1>
      <a:accent2>
        <a:srgbClr val="8E8AC6"/>
      </a:accent2>
      <a:accent3>
        <a:srgbClr val="5AB0D8"/>
      </a:accent3>
      <a:accent4>
        <a:srgbClr val="2E9E6B"/>
      </a:accent4>
      <a:accent5>
        <a:srgbClr val="C0392B"/>
      </a:accent5>
      <a:accent6>
        <a:srgbClr val="C7C5E4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