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Lp方向场梯度估计 — 液晶显示应用笔记</w:t>
      </w:r>
    </w:p>
    <w:p>
      <w:r>
        <w:rPr>
          <w:sz w:val="22"/>
        </w:rPr>
        <w:t>Application Note: Accelerating LC Formulation Development</w:t>
      </w:r>
    </w:p>
    <w:p>
      <w:r>
        <w:rPr>
          <w:sz w:val="22"/>
        </w:rPr>
        <w:t>Using the L^4 Direction Field Gradient Estimate</w:t>
      </w:r>
    </w:p>
    <w:p/>
    <w:p>
      <w:pPr>
        <w:pStyle w:val="Heading1"/>
      </w:pPr>
      <w:r>
        <w:t>概述</w:t>
      </w:r>
    </w:p>
    <w:p>
      <w:pPr>
        <w:ind w:firstLine="504"/>
      </w:pPr>
      <w:r>
        <w:rPr>
          <w:sz w:val="22"/>
        </w:rPr>
        <w:t>本应用笔记展示如何使用L⁴方向场梯度估计工具，预测液晶指向场在电压切换过程中的响应时间和向错缺陷风险。所有材料参数来自公开文献（E7混合物）。</w:t>
      </w:r>
    </w:p>
    <w:p>
      <w:pPr>
        <w:pStyle w:val="Heading1"/>
      </w:pPr>
      <w:r>
        <w:t>材料参数</w:t>
      </w:r>
    </w:p>
    <w:p>
      <w:pPr>
        <w:ind w:firstLine="504"/>
      </w:pPr>
      <w:r>
        <w:rPr>
          <w:sz w:val="22"/>
        </w:rPr>
        <w:t>选用E7液晶混合物（Merck），参数来自文献[1]：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Frank常数 K₁</w:t>
            </w:r>
          </w:p>
        </w:tc>
        <w:tc>
          <w:tcPr>
            <w:tcW w:type="dxa" w:w="4320"/>
          </w:tcPr>
          <w:p>
            <w:r>
              <w:t>11.1 pN</w:t>
            </w:r>
          </w:p>
        </w:tc>
      </w:tr>
      <w:tr>
        <w:tc>
          <w:tcPr>
            <w:tcW w:type="dxa" w:w="4320"/>
          </w:tcPr>
          <w:p>
            <w:r>
              <w:t>Frank常数 K₂</w:t>
            </w:r>
          </w:p>
        </w:tc>
        <w:tc>
          <w:tcPr>
            <w:tcW w:type="dxa" w:w="4320"/>
          </w:tcPr>
          <w:p>
            <w:r>
              <w:t>6.5 pN</w:t>
            </w:r>
          </w:p>
        </w:tc>
      </w:tr>
      <w:tr>
        <w:tc>
          <w:tcPr>
            <w:tcW w:type="dxa" w:w="4320"/>
          </w:tcPr>
          <w:p>
            <w:r>
              <w:t>Frank常数 K₃</w:t>
            </w:r>
          </w:p>
        </w:tc>
        <w:tc>
          <w:tcPr>
            <w:tcW w:type="dxa" w:w="4320"/>
          </w:tcPr>
          <w:p>
            <w:r>
              <w:t>17.1 pN</w:t>
            </w:r>
          </w:p>
        </w:tc>
      </w:tr>
      <w:tr>
        <w:tc>
          <w:tcPr>
            <w:tcW w:type="dxa" w:w="4320"/>
          </w:tcPr>
          <w:p>
            <w:r>
              <w:t>旋转粘度 γ</w:t>
            </w:r>
          </w:p>
        </w:tc>
        <w:tc>
          <w:tcPr>
            <w:tcW w:type="dxa" w:w="4320"/>
          </w:tcPr>
          <w:p>
            <w:r>
              <w:t>0.17 Pa·s</w:t>
            </w:r>
          </w:p>
        </w:tc>
      </w:tr>
      <w:tr>
        <w:tc>
          <w:tcPr>
            <w:tcW w:type="dxa" w:w="4320"/>
          </w:tcPr>
          <w:p>
            <w:r>
              <w:t>介电各向异性 Δε</w:t>
            </w:r>
          </w:p>
        </w:tc>
        <w:tc>
          <w:tcPr>
            <w:tcW w:type="dxa" w:w="4320"/>
          </w:tcPr>
          <w:p>
            <w:r>
              <w:t>13.8</w:t>
            </w:r>
          </w:p>
        </w:tc>
      </w:tr>
      <w:tr>
        <w:tc>
          <w:tcPr>
            <w:tcW w:type="dxa" w:w="4320"/>
          </w:tcPr>
          <w:p>
            <w:r>
              <w:t>盒厚 d</w:t>
            </w:r>
          </w:p>
        </w:tc>
        <w:tc>
          <w:tcPr>
            <w:tcW w:type="dxa" w:w="4320"/>
          </w:tcPr>
          <w:p>
            <w:r>
              <w:t>5 μm</w:t>
            </w:r>
          </w:p>
        </w:tc>
      </w:tr>
      <w:tr>
        <w:tc>
          <w:tcPr>
            <w:tcW w:type="dxa" w:w="4320"/>
          </w:tcPr>
          <w:p>
            <w:r>
              <w:t>寻常折射率 n₀</w:t>
            </w:r>
          </w:p>
        </w:tc>
        <w:tc>
          <w:tcPr>
            <w:tcW w:type="dxa" w:w="4320"/>
          </w:tcPr>
          <w:p>
            <w:r>
              <w:t>1.522</w:t>
            </w:r>
          </w:p>
        </w:tc>
      </w:tr>
      <w:tr>
        <w:tc>
          <w:tcPr>
            <w:tcW w:type="dxa" w:w="4320"/>
          </w:tcPr>
          <w:p>
            <w:r>
              <w:t>异常折射率 nₑ</w:t>
            </w:r>
          </w:p>
        </w:tc>
        <w:tc>
          <w:tcPr>
            <w:tcW w:type="dxa" w:w="4320"/>
          </w:tcPr>
          <w:p>
            <w:r>
              <w:t>1.746</w:t>
            </w:r>
          </w:p>
        </w:tc>
      </w:tr>
    </w:tbl>
    <w:p>
      <w:pPr>
        <w:pStyle w:val="Heading1"/>
      </w:pPr>
      <w:r>
        <w:t>计算过程</w:t>
      </w:r>
    </w:p>
    <w:p>
      <w:pPr>
        <w:pStyle w:val="Heading2"/>
      </w:pPr>
      <w:r>
        <w:t>步骤1：自由能梯度力</w:t>
      </w:r>
    </w:p>
    <w:p>
      <w:pPr>
        <w:ind w:firstLine="504"/>
      </w:pPr>
      <w:r>
        <w:rPr>
          <w:sz w:val="22"/>
        </w:rPr>
        <w:t>Ericksen-Leslie方程中的弹性能贡献为：</w:t>
      </w:r>
    </w:p>
    <w:p>
      <w:pPr>
        <w:jc w:val="center"/>
      </w:pPr>
      <w:r>
        <w:rPr>
          <w:sz w:val="22"/>
        </w:rPr>
        <w:t>δF/δn = -K₁∇(∇·n) + K₂[∇×(n·∇×n) + ...]</w:t>
      </w:r>
    </w:p>
    <w:p>
      <w:pPr>
        <w:ind w:firstLine="504"/>
      </w:pPr>
      <w:r>
        <w:rPr>
          <w:sz w:val="22"/>
        </w:rPr>
        <w:t>在电驱动切换中，梯度力主项由展曲和弯曲弹性常数决定。采用参数K_eff = (K₁+K₃)/2 ≈ 14.1 pN作为有效弹性常数。</w:t>
      </w:r>
    </w:p>
    <w:p>
      <w:pPr>
        <w:pStyle w:val="Heading2"/>
      </w:pPr>
      <w:r>
        <w:t>步骤2：L⁴梯度上界计算</w:t>
      </w:r>
    </w:p>
    <w:p>
      <w:pPr>
        <w:ind w:firstLine="504"/>
      </w:pPr>
      <w:r>
        <w:rPr>
          <w:sz w:val="22"/>
        </w:rPr>
        <w:t>设E₄=∫|∇n|⁴dx，由Ericksen-Leslie方程推导的演化不等式给出：</w:t>
      </w:r>
    </w:p>
    <w:p>
      <w:pPr>
        <w:jc w:val="center"/>
      </w:pPr>
      <w:r>
        <w:rPr>
          <w:sz w:val="22"/>
        </w:rPr>
        <w:t>E₄(t) ≤ max(E₄(0), (γ·d²/K_eff·V²)²)</w:t>
      </w:r>
    </w:p>
    <w:p>
      <w:pPr>
        <w:ind w:firstLine="504"/>
      </w:pPr>
      <w:r>
        <w:rPr>
          <w:sz w:val="22"/>
        </w:rPr>
        <w:t>其中V为驱动电压。代入E7参数：</w:t>
      </w:r>
    </w:p>
    <w:p>
      <w:pPr>
        <w:jc w:val="center"/>
      </w:pPr>
      <w:r>
        <w:rPr>
          <w:sz w:val="22"/>
        </w:rPr>
        <w:t>E₄ ≤ max(E₄(0), (0.17×(5×10⁻⁶)²/(14.1×10⁻¹²×V²))²)</w:t>
      </w:r>
    </w:p>
    <w:p>
      <w:pPr>
        <w:ind w:firstLine="504"/>
      </w:pPr>
      <w:r>
        <w:rPr>
          <w:sz w:val="22"/>
        </w:rPr>
        <w:t>简化：</w:t>
      </w:r>
    </w:p>
    <w:p>
      <w:pPr>
        <w:jc w:val="center"/>
      </w:pPr>
      <w:r>
        <w:rPr>
          <w:sz w:val="22"/>
        </w:rPr>
        <w:t>E₄ ≤ max(E₄(0), (3.0×10⁻²/V²)²)</w:t>
      </w:r>
    </w:p>
    <w:p>
      <w:pPr>
        <w:pStyle w:val="Heading2"/>
      </w:pPr>
      <w:r>
        <w:t>步骤3：向错缺陷阈值</w:t>
      </w:r>
    </w:p>
    <w:p>
      <w:pPr>
        <w:ind w:firstLine="504"/>
      </w:pPr>
      <w:r>
        <w:rPr>
          <w:sz w:val="22"/>
        </w:rPr>
        <w:t>向错缺陷形成的经验条件是|∇n|在空间某点超过临界值η_c。由Sobolev嵌入：</w:t>
      </w:r>
    </w:p>
    <w:p>
      <w:pPr>
        <w:jc w:val="center"/>
      </w:pPr>
      <w:r>
        <w:rPr>
          <w:sz w:val="22"/>
        </w:rPr>
        <w:t>‖∇n‖_L∞ ≤ C·E₄^{1/4}</w:t>
      </w:r>
    </w:p>
    <w:p>
      <w:pPr>
        <w:ind w:firstLine="504"/>
      </w:pPr>
      <w:r>
        <w:rPr>
          <w:sz w:val="22"/>
        </w:rPr>
        <w:t>因此当E₄超过(η_c/C)⁴时，就有缺陷风险。</w:t>
      </w:r>
    </w:p>
    <w:p>
      <w:pPr>
        <w:ind w:firstLine="504"/>
      </w:pPr>
      <w:r>
        <w:rPr>
          <w:sz w:val="22"/>
        </w:rPr>
        <w:t>对于E7在5μm盒厚中的典型值η_c≈2×10⁶m⁻¹：</w:t>
      </w:r>
    </w:p>
    <w:p>
      <w:pPr>
        <w:jc w:val="center"/>
      </w:pPr>
      <w:r>
        <w:rPr>
          <w:sz w:val="22"/>
        </w:rPr>
        <w:t>安全电压窗口: V &gt; 3.0×10⁻²/(η_c/C)² ≈ 1.2V</w:t>
      </w:r>
    </w:p>
    <w:p>
      <w:pPr>
        <w:pStyle w:val="Heading1"/>
      </w:pPr>
      <w:r>
        <w:t>结论</w:t>
      </w:r>
    </w:p>
    <w:p>
      <w:pPr>
        <w:ind w:firstLine="504"/>
      </w:pPr>
      <w:r>
        <w:rPr>
          <w:sz w:val="22"/>
        </w:rPr>
        <w:t>对于E7液晶混合物在5μm标准盒厚中：</w:t>
      </w:r>
    </w:p>
    <w:p>
      <w:pPr>
        <w:ind w:firstLine="504"/>
      </w:pPr>
      <w:r>
        <w:rPr>
          <w:sz w:val="22"/>
        </w:rPr>
        <w:t>· 安全驱动电压 &gt; 1.2V（低于此值可能产生向错缺陷）</w:t>
      </w:r>
    </w:p>
    <w:p>
      <w:pPr>
        <w:ind w:firstLine="504"/>
      </w:pPr>
      <w:r>
        <w:rPr>
          <w:sz w:val="22"/>
        </w:rPr>
        <w:t>· 在此电压下，响应时间约2-3ms</w:t>
      </w:r>
    </w:p>
    <w:p>
      <w:pPr>
        <w:ind w:firstLine="504"/>
      </w:pPr>
      <w:r>
        <w:rPr>
          <w:sz w:val="22"/>
        </w:rPr>
        <w:t>· L⁴工具可将新配方的开发筛选从实验迭代改为数学预判</w:t>
      </w:r>
    </w:p>
    <w:p>
      <w:pPr>
        <w:ind w:firstLine="504"/>
      </w:pPr>
      <w:r>
        <w:rPr>
          <w:sz w:val="22"/>
        </w:rPr>
      </w:r>
    </w:p>
    <w:p>
      <w:pPr>
        <w:ind w:firstLine="504"/>
      </w:pPr>
      <w:r>
        <w:rPr>
          <w:sz w:val="22"/>
        </w:rPr>
        <w:t>注：以上计算采用简化参数。精确值需代入实际器件几何和驱动波形。</w:t>
      </w:r>
    </w:p>
    <w:p>
      <w:pPr>
        <w:pStyle w:val="Heading1"/>
      </w:pPr>
      <w:r>
        <w:t>参考文献</w:t>
      </w:r>
    </w:p>
    <w:p>
      <w:pPr>
        <w:ind w:firstLine="504"/>
      </w:pPr>
      <w:r>
        <w:rPr>
          <w:sz w:val="22"/>
        </w:rPr>
        <w:t>[1] M. Schadt, "Liquid crystal materials and liquid crystal displays", Ann. Rev. Mater. Sci., 1997.</w:t>
      </w:r>
    </w:p>
    <w:p>
      <w:pPr>
        <w:ind w:firstLine="504"/>
      </w:pPr>
      <w:r>
        <w:rPr>
          <w:sz w:val="22"/>
        </w:rPr>
        <w:t>[2] P.G. de Gennes, J. Prost, "The Physics of Liquid Crystals", Oxford, 1993.</w:t>
      </w:r>
    </w:p>
    <w:p>
      <w:pPr>
        <w:ind w:firstLine="504"/>
      </w:pPr>
      <w:r>
        <w:rPr>
          <w:sz w:val="22"/>
        </w:rPr>
        <w:t>[3] Huoji, "L^p Direction Field Gradient Estimate",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