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</w:pPr>
      <w:r>
        <w:rPr>
          <w:rFonts w:ascii="宋体" w:hAnsi="宋体" w:eastAsia="宋体"/>
          <w:sz w:val="48"/>
        </w:rPr>
        <w:t>2026年全国大学生电子设计竞赛赛区赛</w:t>
      </w:r>
    </w:p>
    <w:p/>
    <w:p/>
    <w:p/>
    <w:p/>
    <w:p>
      <w:pPr>
        <w:jc w:val="center"/>
      </w:pPr>
      <w:r>
        <w:rPr>
          <w:rFonts w:ascii="黑体" w:hAnsi="黑体" w:eastAsia="黑体"/>
          <w:b/>
          <w:sz w:val="36"/>
        </w:rPr>
        <w:t>车载平衡滚球运动控制系统（H题）</w:t>
      </w:r>
    </w:p>
    <w:p>
      <w:pPr>
        <w:jc w:val="center"/>
      </w:pPr>
      <w:r>
        <w:rPr>
          <w:rFonts w:ascii="黑体" w:hAnsi="黑体" w:eastAsia="黑体"/>
          <w:b/>
          <w:color w:val="2F75B5"/>
          <w:sz w:val="32"/>
        </w:rPr>
        <w:t>底盘运动控制部分（阶段性初稿）</w:t>
      </w:r>
    </w:p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32"/>
        </w:rPr>
        <w:t>2026年7月29日</w:t>
      </w:r>
    </w:p>
    <w:p>
      <w:pPr>
        <w:sectPr>
          <w:pgSz w:w="11906" w:h="16838"/>
          <w:pgMar w:top="1701" w:right="1440" w:bottom="1440" w:left="1701" w:header="850" w:footer="850" w:gutter="0"/>
          <w:cols w:space="720" w:num="1"/>
          <w:docGrid w:linePitch="360" w:charSpace="0"/>
        </w:sectPr>
      </w:pPr>
    </w:p>
    <w:p>
      <w:pPr>
        <w:jc w:val="center"/>
      </w:pPr>
      <w:r>
        <w:rPr>
          <w:rFonts w:ascii="黑体" w:hAnsi="黑体" w:eastAsia="黑体"/>
          <w:b/>
          <w:sz w:val="32"/>
        </w:rPr>
        <w:t>摘    要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针对车载平衡滚球运动控制系统的底盘运动任务，设计以MSPM0G3507为核心的两轮差速循迹平台。系统采用八路灰度传感器并行采样黑线位置，利用加权质心获得横向偏差，经位置式PD产生左右轮差速；在直道稳定阶段引入G356航向角辅助，在弯道、角速度增大或数据失效时自动退出，避免双环冲突。编码器用于里程估计与AB段定距停车，起终点横线采用武装距离和多探头判据识别，并设置丢线、超时、超程和人工急停保护。本文完成底盘方案论证、数学模型、软硬件结构及测试方案，实测数据待整车联调后补充。</w:t>
      </w:r>
    </w:p>
    <w:p>
      <w:pPr>
        <w:spacing w:before="120"/>
      </w:pPr>
      <w:r>
        <w:rPr>
          <w:rFonts w:ascii="黑体" w:hAnsi="黑体" w:eastAsia="黑体"/>
          <w:sz w:val="24"/>
        </w:rPr>
        <w:t>关键词：</w:t>
      </w:r>
      <w:r>
        <w:rPr>
          <w:rFonts w:ascii="宋体" w:hAnsi="宋体" w:eastAsia="宋体"/>
          <w:sz w:val="24"/>
        </w:rPr>
        <w:t>MSPM0G3507；两轮差速；八路灰度；循迹PD；G356；编码器定距停车</w:t>
      </w:r>
    </w:p>
    <w:p/>
    <w:p/>
    <w:p/>
    <w:p/>
    <w:tbl>
      <w:tblPr>
        <w:tblStyle w:val="32"/>
        <w:tblW w:w="0" w:type="auto"/>
        <w:jc w:val="center"/>
        <w:tblBorders>
          <w:top w:val="single" w:color="E3A857" w:sz="4" w:space="0"/>
          <w:left w:val="single" w:color="E3A857" w:sz="4" w:space="0"/>
          <w:bottom w:val="single" w:color="E3A857" w:sz="4" w:space="0"/>
          <w:right w:val="single" w:color="E3A857" w:sz="4" w:space="0"/>
          <w:insideH w:val="single" w:color="E3A857" w:sz="4" w:space="0"/>
          <w:insideV w:val="single" w:color="E3A85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>
        <w:tblPrEx>
          <w:tblBorders>
            <w:top w:val="single" w:color="E3A857" w:sz="4" w:space="0"/>
            <w:left w:val="single" w:color="E3A857" w:sz="4" w:space="0"/>
            <w:bottom w:val="single" w:color="E3A857" w:sz="4" w:space="0"/>
            <w:right w:val="single" w:color="E3A857" w:sz="4" w:space="0"/>
            <w:insideH w:val="single" w:color="E3A857" w:sz="4" w:space="0"/>
            <w:insideV w:val="single" w:color="E3A85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5" w:type="dxa"/>
            <w:shd w:val="clear" w:color="auto" w:fill="FFF4E6"/>
            <w:tcMar>
              <w:top w:w="100" w:type="dxa"/>
              <w:bottom w:w="10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color w:val="7D4E14"/>
                <w:sz w:val="21"/>
              </w:rPr>
              <w:t>说明：本稿仅覆盖天猛星主控承担的底盘运动部分。控球板、球体动力学和整机最终测试数据将在地猛星模块完成后统一补入。</w:t>
            </w:r>
          </w:p>
        </w:tc>
      </w:tr>
    </w:tbl>
    <w:p>
      <w:pPr>
        <w:sectPr>
          <w:pgSz w:w="11906" w:h="16838"/>
          <w:pgMar w:top="1701" w:right="1440" w:bottom="1440" w:left="1701" w:header="850" w:footer="850" w:gutter="0"/>
          <w:cols w:space="720" w:num="1"/>
          <w:docGrid w:linePitch="360" w:charSpace="0"/>
        </w:sectPr>
      </w:pPr>
    </w:p>
    <w:p>
      <w:pPr>
        <w:jc w:val="center"/>
      </w:pPr>
      <w:r>
        <w:rPr>
          <w:rFonts w:ascii="黑体" w:hAnsi="黑体" w:eastAsia="黑体"/>
          <w:b/>
          <w:sz w:val="36"/>
        </w:rPr>
        <w:t>车载平衡滚球运动控制系统（H题）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【本科组·底盘运动控制部分】</w:t>
      </w:r>
    </w:p>
    <w:p>
      <w:pPr>
        <w:keepNext/>
        <w:spacing w:before="160" w:after="80"/>
      </w:pPr>
      <w:r>
        <w:rPr>
          <w:rFonts w:ascii="黑体" w:hAnsi="黑体" w:eastAsia="黑体"/>
          <w:sz w:val="32"/>
        </w:rPr>
        <w:t>一、系统方案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底盘需要完成沿黑色轨迹稳定运行、A—B段定距停车、单圈返回A点停车以及异常状态安全制动。设计重点不是单纯提高电机速度，而是在循迹稳定性、停车精度、控制实时性和后续控球负载之间取得平衡。系统由主控制器、轨迹检测、航向检测、编码器里程、电机驱动、人机交互和安全保护七部分组成。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1.1 底盘机构与执行器方案论证</w:t>
      </w:r>
    </w:p>
    <w:tbl>
      <w:tblPr>
        <w:tblStyle w:val="32"/>
        <w:tblW w:w="0" w:type="auto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2191"/>
        <w:gridCol w:w="2191"/>
        <w:gridCol w:w="2191"/>
      </w:tblGrid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</w:tblPrEx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比较项目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方案一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方案二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分析与结论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行走机构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四轮全向/麦克纳姆底盘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两轮差速驱动+支撑轮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全向底盘运动自由度高，但轮间一致性、控制量和机械装配误差更复杂；本题轨迹以直线和半圆为主，选择两轮差速可减少变量并提高调试效率。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电机驱动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L298N双H桥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TB6612FNG双H桥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L298N压降和发热较大；TB6612FNG效率较高、体积小并支持短路制动，选择TB6612FNG。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轨迹检测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摄像头视觉循迹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八路灰度近地检测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视觉信息丰富但受光照、图像延迟和算力影响；八路灰度可直接给出横向位置，实时性高，适合当前规则赛道。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航向测量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仅灰度闭环</w:t>
            </w:r>
          </w:p>
        </w:tc>
        <w:tc>
          <w:tcPr>
            <w:tcW w:w="181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灰度循迹+G356直道辅助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仅灰度可完成转弯，但高速直道易出现左右摆动；选择条件式航向辅助，弯道自动退出，避免与循迹环对抗。</w:t>
            </w:r>
          </w:p>
        </w:tc>
      </w:tr>
    </w:tbl>
    <w:p>
      <w:pPr>
        <w:keepNext/>
        <w:spacing w:before="100" w:after="40"/>
      </w:pPr>
      <w:r>
        <w:rPr>
          <w:rFonts w:ascii="黑体" w:hAnsi="黑体" w:eastAsia="黑体"/>
          <w:sz w:val="28"/>
        </w:rPr>
        <w:t>1.2 轨迹检测方案论证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灰度模块提供8路并行数字信号，黑线对应低电平。与I²C轮询或逐路ADC采样相比，并行GPIO可在一次端口读取中得到整排探头状态，减少通信等待和模拟阈值漂移对控制周期的影响。探头从左到右定义为L4、L3、L2、L1、R1、R2、R3、R4，并赋予−3.5～+3.5的位置权重。外侧探头用于提前识别急弯；多路同时有效时使用加权平均，兼顾宽线与弯道。</w:t>
      </w:r>
      <w:bookmarkStart w:id="0" w:name="_GoBack"/>
      <w:bookmarkEnd w:id="0"/>
    </w:p>
    <w:p>
      <w:pPr>
        <w:keepNext/>
        <w:jc w:val="center"/>
      </w:pPr>
      <w:r>
        <w:drawing>
          <wp:inline distT="0" distB="0" distL="114300" distR="114300">
            <wp:extent cx="5471795" cy="1580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图1  八路灰度探头位置权重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1.3 总体方案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系统以MSPM0G3507为核心。灰度传感器给出轨迹偏差，编码器给出轮距累积量，G356输出航向角和Z轴角速度；控制器依据比赛模式选择高速单圈或稳速曲线，计算左右轮PWM并驱动TB6612FNG。OLED显示任务、运行状态、时间、里程和陀螺仪状态，按键用于模式选择、启动和人工急停。</w:t>
      </w:r>
    </w:p>
    <w:p>
      <w:pPr>
        <w:keepNext/>
        <w:jc w:val="center"/>
      </w:pPr>
      <w:r>
        <w:drawing>
          <wp:inline distT="0" distB="0" distL="114300" distR="114300">
            <wp:extent cx="5471795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图2  底盘控制系统总体框图</w:t>
      </w:r>
    </w:p>
    <w:p>
      <w:pPr>
        <w:keepNext/>
        <w:spacing w:before="160" w:after="80"/>
      </w:pPr>
      <w:r>
        <w:rPr>
          <w:rFonts w:ascii="黑体" w:hAnsi="黑体" w:eastAsia="黑体"/>
          <w:sz w:val="32"/>
        </w:rPr>
        <w:t>二、理论分析与计算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2.1 两轮差速运动模型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设左右驱动轮线速度分别为vL、vR，轮距为B，则车体中心线速度v和角速度ω为：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3"/>
        </w:rPr>
        <w:t>v = (vR + vL) / 2</w:t>
      </w:r>
      <w:r>
        <w:rPr>
          <w:rFonts w:ascii="宋体" w:hAnsi="宋体" w:eastAsia="宋体"/>
          <w:sz w:val="23"/>
        </w:rPr>
        <w:t xml:space="preserve">    （1）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3"/>
        </w:rPr>
        <w:t>ω = (vR − vL) / B</w:t>
      </w:r>
      <w:r>
        <w:rPr>
          <w:rFonts w:ascii="宋体" w:hAnsi="宋体" w:eastAsia="宋体"/>
          <w:sz w:val="23"/>
        </w:rPr>
        <w:t xml:space="preserve">    （2）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在轨迹跟踪中不直接求解全局坐标，而是将横向偏差转换为左右轮速度差。这样可用较低计算量完成直行、普通弯和急弯控制，并为后续承载控球机构保留处理余量。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2.2 灰度位置误差计算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令第i路探头黑线检测状态为si∈{0,1}，位置权重wi依次为−3.5、−2.5、−1.5、−0.5、0.5、1.5、2.5、3.5，则加权位置误差为：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3"/>
        </w:rPr>
        <w:t>e(k) = Sgn · [Σ wi·si(k)] / [Σ si(k)]</w:t>
      </w:r>
      <w:r>
        <w:rPr>
          <w:rFonts w:ascii="宋体" w:hAnsi="宋体" w:eastAsia="宋体"/>
          <w:sz w:val="23"/>
        </w:rPr>
        <w:t xml:space="preserve">    （3）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其中Sgn用于统一灰度板安装方向，当前程序取−1。当全部探头均未检测到黑线时，不计算式（3），而是依据最后一次有效偏差方向进行短时找线；若连续20个控制步仍未恢复，则立即停车，避免车辆脱离赛道。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2.3 循迹PD与差速输出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控制器内部定义ε(k)=0−e(k)，采用位置式PID结构。当前积分系数为0，因此实际为PD控制：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3"/>
        </w:rPr>
        <w:t>u(k) = Kp·ε(k) + Ki·Σ ε(j) + Kd·[ε(k)−ε(k−1)]</w:t>
      </w:r>
      <w:r>
        <w:rPr>
          <w:rFonts w:ascii="宋体" w:hAnsi="宋体" w:eastAsia="宋体"/>
          <w:sz w:val="23"/>
        </w:rPr>
        <w:t xml:space="preserve">    （4）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3"/>
        </w:rPr>
        <w:t>VL = Vb − u，VR = Vb + u</w:t>
      </w:r>
      <w:r>
        <w:rPr>
          <w:rFonts w:ascii="宋体" w:hAnsi="宋体" w:eastAsia="宋体"/>
          <w:sz w:val="23"/>
        </w:rPr>
        <w:t xml:space="preserve">    （5）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当前参数Kp=55、Ki=0、Kd=15，差速修正限幅为±260。为抑制灰度边沿跳变和PWM突变，位置误差每步最大变化量限制为0.35，转向修正每步最大变化量限制为12。该处理牺牲少量瞬态响应速度，以降低高速直道蛇形振荡和电机冲击。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2.4 弯道分级降速与丢线恢复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单一基础速度难以同时兼顾直道时间和半圆弯稳定性，因此根据|e|分级调整速度：当|e|≥1.25判为普通弯，高速任务基础PWM由400降至360，并保证转向量不小于90；当|e|≥2.40判为急弯，基础PWM降至340，并保证转向量不小于160。出弯后继续保持350 PWM共30个控制步，避免刚离开弯道就加速造成二次摆动。稳速任务采用更低的165/155 PWM基准，以降低控球板受到的水平加速度。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2.5 直道航向辅助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灰度偏差较小且Z轴角速度较低持续20个控制步时，系统锁定当前Yaw作为短时参考。锁定条件为|e|≤0.75且|ωz|≤8°/s；若外侧探头触发、|e|≥1.25或|ωz|≥18°/s，则立即解除航向环。航向控制参数为Kp=3.0、Ki=0、Kd=0.8，输出限幅±35。G356无有效帧或连续40步未更新时同样退出辅助，使底盘退化为纯灰度循迹而不是继续使用过期姿态数据。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2.6 编码器里程与停车计算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左右轮累计计数分别为NL、NR，驱动轮实测周长C=204 mm，每轮一周计数N0=730，则平均里程为：</w:t>
      </w:r>
    </w:p>
    <w:p>
      <w:pPr>
        <w:spacing w:before="40" w:after="40"/>
        <w:jc w:val="center"/>
      </w:pPr>
      <w:r>
        <w:rPr>
          <w:rFonts w:ascii="Cambria Math" w:hAnsi="Cambria Math" w:eastAsia="Cambria Math"/>
          <w:sz w:val="23"/>
        </w:rPr>
        <w:t>d = (|NL| + |NR|) / 2 · C / N0</w:t>
      </w:r>
      <w:r>
        <w:rPr>
          <w:rFonts w:ascii="宋体" w:hAnsi="宋体" w:eastAsia="宋体"/>
          <w:sz w:val="23"/>
        </w:rPr>
        <w:t xml:space="preserve">    （6）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由式（6）可得单个计数对应0.2795 mm。A—B理论距离为1500 mm，程序在1250 mm开始减速，在1480 mm发出制动命令，预留20 mm用于补偿轮胎滑移和TB6612短路制动惯性。标准赛道中心线理论周长为2×1500+2π×500≈6141.6 mm；单圈任务在理论终点前250 mm降速，6800 mm仍未识别终点时触发超程停车。上述参数均为首轮标定值，最终值必须按实际轮径、负载和地面摩擦重新测定。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2.7 起终点横线识别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车辆从压住A点横线的位置启动，因此上电后不能立即把横线判为终点。程序先以编码器里程300 mm作为“终点武装距离”，确认车辆已离开起点；返回A点后，任意4路及以上探头同时检测到黑线即立即制动。终点判断在本周期循迹PD之前执行，保证确认横线后不会再写入一次前进PWM。</w:t>
      </w:r>
    </w:p>
    <w:p>
      <w:pPr>
        <w:keepNext/>
        <w:spacing w:before="160" w:after="80"/>
      </w:pPr>
      <w:r>
        <w:rPr>
          <w:rFonts w:ascii="黑体" w:hAnsi="黑体" w:eastAsia="黑体"/>
          <w:sz w:val="32"/>
        </w:rPr>
        <w:t>三、电路与程序设计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3.1 底盘硬件接口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主控板采用MSPM0G3507，电机PWM由TIMG6两路比较输出产生，编码器通过GPIO边沿中断进行正交计数，G356通过UART3异步接收，OLED采用软件SPI。关键接口见表1。</w:t>
      </w:r>
    </w:p>
    <w:tbl>
      <w:tblPr>
        <w:tblStyle w:val="32"/>
        <w:tblW w:w="0" w:type="auto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2191"/>
        <w:gridCol w:w="2191"/>
        <w:gridCol w:w="2191"/>
      </w:tblGrid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</w:tblPrEx>
        <w:trPr>
          <w:tblHeader/>
          <w:jc w:val="center"/>
        </w:trPr>
        <w:tc>
          <w:tcPr>
            <w:tcW w:w="119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模块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主要信号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主控引脚/参数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设计说明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八路灰度</w:t>
            </w:r>
          </w:p>
        </w:tc>
        <w:tc>
          <w:tcPr>
            <w:tcW w:w="175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L4～R4数字量</w:t>
            </w:r>
          </w:p>
        </w:tc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PA12～PA17、PA0、PA1；低电平有效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并行读取，避免串行采样延迟；外侧探头用于急弯判定。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TB6612FNG</w:t>
            </w:r>
          </w:p>
        </w:tc>
        <w:tc>
          <w:tcPr>
            <w:tcW w:w="175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PWMA/PWMB、四路方向</w:t>
            </w:r>
          </w:p>
        </w:tc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PB2、PB3；PB18、PB19、PB20、PB24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PWM范围0～1000；停车时PWM清零并将方向端置为制动状态。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左右编码器</w:t>
            </w:r>
          </w:p>
        </w:tc>
        <w:tc>
          <w:tcPr>
            <w:tcW w:w="175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A/B正交相</w:t>
            </w:r>
          </w:p>
        </w:tc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左PB0/PB1；右PB7/PB6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GPIO中断判断方向，左右计数绝对值平均后换算里程。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G356</w:t>
            </w:r>
          </w:p>
        </w:tc>
        <w:tc>
          <w:tcPr>
            <w:tcW w:w="175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UART3 RX/TX</w:t>
            </w:r>
          </w:p>
        </w:tc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PA25/PA26，115200 bit/s，8N1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中断内只清FIFO和解析帧；显示与日志不放入中断。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OLED</w:t>
            </w:r>
          </w:p>
        </w:tc>
        <w:tc>
          <w:tcPr>
            <w:tcW w:w="175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SCK/MOSI/RES/DC/CS</w:t>
            </w:r>
          </w:p>
        </w:tc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PB9/PB8/PB10/PB11/PB14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100 ms刷新；接近终点时暂停硬件发送，防止阻塞循迹采样。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按键</w:t>
            </w:r>
          </w:p>
        </w:tc>
        <w:tc>
          <w:tcPr>
            <w:tcW w:w="175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上/下/确认/返回</w:t>
            </w:r>
          </w:p>
        </w:tc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PB15/PB16/PB21/PB17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运行中确认或返回均触发人工急停。</w:t>
            </w:r>
          </w:p>
        </w:tc>
      </w:tr>
    </w:tbl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表1  底盘主要接口与功能</w:t>
      </w:r>
    </w:p>
    <w:tbl>
      <w:tblPr>
        <w:tblStyle w:val="32"/>
        <w:tblW w:w="0" w:type="auto"/>
        <w:jc w:val="center"/>
        <w:tblBorders>
          <w:top w:val="single" w:color="E3A857" w:sz="4" w:space="0"/>
          <w:left w:val="single" w:color="E3A857" w:sz="4" w:space="0"/>
          <w:bottom w:val="single" w:color="E3A857" w:sz="4" w:space="0"/>
          <w:right w:val="single" w:color="E3A857" w:sz="4" w:space="0"/>
          <w:insideH w:val="single" w:color="E3A857" w:sz="4" w:space="0"/>
          <w:insideV w:val="single" w:color="E3A85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>
        <w:tblPrEx>
          <w:tblBorders>
            <w:top w:val="single" w:color="E3A857" w:sz="4" w:space="0"/>
            <w:left w:val="single" w:color="E3A857" w:sz="4" w:space="0"/>
            <w:bottom w:val="single" w:color="E3A857" w:sz="4" w:space="0"/>
            <w:right w:val="single" w:color="E3A857" w:sz="4" w:space="0"/>
            <w:insideH w:val="single" w:color="E3A857" w:sz="4" w:space="0"/>
            <w:insideV w:val="single" w:color="E3A85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5" w:type="dxa"/>
            <w:shd w:val="clear" w:color="auto" w:fill="FFF4E6"/>
            <w:tcMar>
              <w:top w:w="100" w:type="dxa"/>
              <w:bottom w:w="10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color w:val="7D4E14"/>
                <w:sz w:val="21"/>
              </w:rPr>
              <w:t>供电原则：电机和大功率负载建议独立供电，主控、传感器、驱动逻辑和惯性模块必须可靠共地；最终报告应补充实物电源框图、稳压器型号、容量和纹波实测值。</w:t>
            </w:r>
          </w:p>
        </w:tc>
      </w:tr>
    </w:tbl>
    <w:p>
      <w:pPr>
        <w:keepNext/>
        <w:spacing w:before="100" w:after="40"/>
      </w:pPr>
      <w:r>
        <w:rPr>
          <w:rFonts w:ascii="黑体" w:hAnsi="黑体" w:eastAsia="黑体"/>
          <w:sz w:val="28"/>
        </w:rPr>
        <w:t>3.2 程序总体结构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程序按功能分层：Hardware层完成电机、编码器、灰度、G356、OLED和按键驱动；Control层完成PID与运动控制；App层完成比赛模式和状态机；Bsp层提供独立毫秒计时。主函数依次初始化外设和控制器，随后循环调用CompetitionControl_Process。系统时钟为32 MHz，主循环空闲延时160000个周期，折算为约5 ms，实际控制步长还包括一次采样和运算时间；SysTick以1 ms独立计时，显示刷新周期为100 ms。</w:t>
      </w:r>
    </w:p>
    <w:p>
      <w:pPr>
        <w:keepNext/>
        <w:jc w:val="center"/>
      </w:pPr>
      <w:r>
        <w:drawing>
          <wp:inline distT="0" distB="0" distL="114300" distR="114300">
            <wp:extent cx="5471795" cy="3191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图3  单次循迹控制流程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3.3 比赛状态机设计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底盘包含高速单圈、A到B稳速、任务5/6稳速单圈和陀螺仪诊断四种模式。运行状态下持续检查终点、丢线、超时、超程和人工急停；任一停止条件成立即关闭循迹、执行制动并锁存结束时间。高速单圈、A—B和稳速单圈的超时阈值分别为22 s、10 s和32 s。</w:t>
      </w:r>
    </w:p>
    <w:p>
      <w:pPr>
        <w:keepNext/>
        <w:jc w:val="center"/>
      </w:pPr>
      <w:r>
        <w:drawing>
          <wp:inline distT="0" distB="0" distL="114300" distR="114300">
            <wp:extent cx="5471795" cy="2735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图4  底盘比赛状态机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3.4 串口、中断与实时性处理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G356采用连续字节流协议，接收状态机先搜索AA 55帧头，再收集固定长度数据并进行帧合法性检查。UART中断只负责读取FIFO和解析数据，避免100 Hz级遥测流中执行OLED刷新。编码器中断仅完成计数和状态清除。OLED软件SPI会短时阻塞主循环，因此单圈里程达到5000 mm后暂停运行画面发送；SysTick仍独立计时，停车后再全屏显示真实最终时间。</w:t>
      </w:r>
    </w:p>
    <w:p>
      <w:pPr>
        <w:keepNext/>
        <w:spacing w:before="160" w:after="80"/>
      </w:pPr>
      <w:r>
        <w:rPr>
          <w:rFonts w:ascii="黑体" w:hAnsi="黑体" w:eastAsia="黑体"/>
          <w:sz w:val="32"/>
        </w:rPr>
        <w:t>四、测试方案与阶段性结果</w:t>
      </w:r>
    </w:p>
    <w:tbl>
      <w:tblPr>
        <w:tblStyle w:val="32"/>
        <w:tblW w:w="0" w:type="auto"/>
        <w:jc w:val="center"/>
        <w:tblBorders>
          <w:top w:val="single" w:color="E3A857" w:sz="4" w:space="0"/>
          <w:left w:val="single" w:color="E3A857" w:sz="4" w:space="0"/>
          <w:bottom w:val="single" w:color="E3A857" w:sz="4" w:space="0"/>
          <w:right w:val="single" w:color="E3A857" w:sz="4" w:space="0"/>
          <w:insideH w:val="single" w:color="E3A857" w:sz="4" w:space="0"/>
          <w:insideV w:val="single" w:color="E3A85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>
        <w:tblPrEx>
          <w:tblBorders>
            <w:top w:val="single" w:color="E3A857" w:sz="4" w:space="0"/>
            <w:left w:val="single" w:color="E3A857" w:sz="4" w:space="0"/>
            <w:bottom w:val="single" w:color="E3A857" w:sz="4" w:space="0"/>
            <w:right w:val="single" w:color="E3A857" w:sz="4" w:space="0"/>
            <w:insideH w:val="single" w:color="E3A857" w:sz="4" w:space="0"/>
            <w:insideV w:val="single" w:color="E3A85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5" w:type="dxa"/>
            <w:shd w:val="clear" w:color="auto" w:fill="FFF4E6"/>
            <w:tcMar>
              <w:top w:w="100" w:type="dxa"/>
              <w:bottom w:w="100" w:type="dxa"/>
            </w:tcMar>
          </w:tcPr>
          <w:p>
            <w:pPr>
              <w:jc w:val="both"/>
            </w:pPr>
            <w:r>
              <w:rPr>
                <w:rFonts w:ascii="宋体" w:hAnsi="宋体" w:eastAsia="宋体"/>
                <w:color w:val="7D4E14"/>
                <w:sz w:val="21"/>
              </w:rPr>
              <w:t>本节按竞赛评分项目预先设计测试表。当前工程尚未完成整车实测，表中“待实测”不是缺失项，而是避免以仿真值替代比赛数据；建议完成机械安装后按相同条件每项测试不少于10次。</w:t>
            </w:r>
          </w:p>
        </w:tc>
      </w:tr>
    </w:tbl>
    <w:p>
      <w:pPr>
        <w:keepNext/>
        <w:spacing w:before="100" w:after="40"/>
      </w:pPr>
      <w:r>
        <w:rPr>
          <w:rFonts w:ascii="黑体" w:hAnsi="黑体" w:eastAsia="黑体"/>
          <w:sz w:val="28"/>
        </w:rPr>
        <w:t>4.1 测试仪器与条件</w:t>
      </w:r>
    </w:p>
    <w:tbl>
      <w:tblPr>
        <w:tblStyle w:val="32"/>
        <w:tblW w:w="0" w:type="auto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2191"/>
        <w:gridCol w:w="2191"/>
        <w:gridCol w:w="2191"/>
      </w:tblGrid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序号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仪器/工具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用途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关键设置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卷尺或激光测距仪</w:t>
            </w:r>
          </w:p>
        </w:tc>
        <w:tc>
          <w:tcPr>
            <w:tcW w:w="340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标定A—B距离、终点偏差和赛道尺寸</w:t>
            </w:r>
          </w:p>
        </w:tc>
        <w:tc>
          <w:tcPr>
            <w:tcW w:w="272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分辨率≤1 mm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秒表/高速摄像</w:t>
            </w:r>
          </w:p>
        </w:tc>
        <w:tc>
          <w:tcPr>
            <w:tcW w:w="340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核对OLED计时、单圈时间和制动瞬态</w:t>
            </w:r>
          </w:p>
        </w:tc>
        <w:tc>
          <w:tcPr>
            <w:tcW w:w="272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视频帧率≥60 fps为宜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直流稳压电源/电池检测仪</w:t>
            </w:r>
          </w:p>
        </w:tc>
        <w:tc>
          <w:tcPr>
            <w:tcW w:w="340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记录主控与电机供电电压</w:t>
            </w:r>
          </w:p>
        </w:tc>
        <w:tc>
          <w:tcPr>
            <w:tcW w:w="272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测试前后均记录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逻辑分析仪或示波器</w:t>
            </w:r>
          </w:p>
        </w:tc>
        <w:tc>
          <w:tcPr>
            <w:tcW w:w="340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测量PWM、主循环与UART时序</w:t>
            </w:r>
          </w:p>
        </w:tc>
        <w:tc>
          <w:tcPr>
            <w:tcW w:w="272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至少2通道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水平尺与角度标尺</w:t>
            </w:r>
          </w:p>
        </w:tc>
        <w:tc>
          <w:tcPr>
            <w:tcW w:w="340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检查G356安装角与直线偏航</w:t>
            </w:r>
          </w:p>
        </w:tc>
        <w:tc>
          <w:tcPr>
            <w:tcW w:w="272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安装后软件归零</w:t>
            </w:r>
          </w:p>
        </w:tc>
      </w:tr>
    </w:tbl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表2  建议测试仪器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4.2 分项测试方法</w:t>
      </w:r>
    </w:p>
    <w:tbl>
      <w:tblPr>
        <w:tblStyle w:val="32"/>
        <w:tblW w:w="0" w:type="auto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2191"/>
        <w:gridCol w:w="2191"/>
        <w:gridCol w:w="2191"/>
      </w:tblGrid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测试项目</w:t>
            </w:r>
          </w:p>
        </w:tc>
        <w:tc>
          <w:tcPr>
            <w:tcW w:w="4082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测试条件与方法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样本数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记录量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编码器距离标定</w:t>
            </w:r>
          </w:p>
        </w:tc>
        <w:tc>
          <w:tcPr>
            <w:tcW w:w="408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直线低速行驶1000 mm，分别记录左右计数；正反向各测试</w:t>
            </w:r>
          </w:p>
        </w:tc>
        <w:tc>
          <w:tcPr>
            <w:tcW w:w="102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≥10次</w:t>
            </w:r>
          </w:p>
        </w:tc>
        <w:tc>
          <w:tcPr>
            <w:tcW w:w="226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平均换算系数、左右轮差、最大误差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A—B停车</w:t>
            </w:r>
          </w:p>
        </w:tc>
        <w:tc>
          <w:tcPr>
            <w:tcW w:w="408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从A点启动，目标1500 mm；按统一电量和轮胎状态重复</w:t>
            </w:r>
          </w:p>
        </w:tc>
        <w:tc>
          <w:tcPr>
            <w:tcW w:w="102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≥10次</w:t>
            </w:r>
          </w:p>
        </w:tc>
        <w:tc>
          <w:tcPr>
            <w:tcW w:w="226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停车距离、平均误差、最大绝对误差、成功率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单圈循迹</w:t>
            </w:r>
          </w:p>
        </w:tc>
        <w:tc>
          <w:tcPr>
            <w:tcW w:w="408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高速模式完成一圈并返回A点横线停车</w:t>
            </w:r>
          </w:p>
        </w:tc>
        <w:tc>
          <w:tcPr>
            <w:tcW w:w="102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≥10次</w:t>
            </w:r>
          </w:p>
        </w:tc>
        <w:tc>
          <w:tcPr>
            <w:tcW w:w="226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完成时间、停车偏差、脱线次数、成功率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弯道稳定</w:t>
            </w:r>
          </w:p>
        </w:tc>
        <w:tc>
          <w:tcPr>
            <w:tcW w:w="408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在两个半圆弯分别记录外侧探头触发和PWM变化</w:t>
            </w:r>
          </w:p>
        </w:tc>
        <w:tc>
          <w:tcPr>
            <w:tcW w:w="102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≥10圈</w:t>
            </w:r>
          </w:p>
        </w:tc>
        <w:tc>
          <w:tcPr>
            <w:tcW w:w="226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最大横向偏差、是否冲出赛道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丢线恢复</w:t>
            </w:r>
          </w:p>
        </w:tc>
        <w:tc>
          <w:tcPr>
            <w:tcW w:w="408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人为遮挡或设置短缺口，验证20步内找回与超限停车</w:t>
            </w:r>
          </w:p>
        </w:tc>
        <w:tc>
          <w:tcPr>
            <w:tcW w:w="102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各10次</w:t>
            </w:r>
          </w:p>
        </w:tc>
        <w:tc>
          <w:tcPr>
            <w:tcW w:w="226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恢复步数、恢复率、超限制动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航向辅助</w:t>
            </w:r>
          </w:p>
        </w:tc>
        <w:tc>
          <w:tcPr>
            <w:tcW w:w="408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对比开启/关闭直道航向辅助的同一赛道数据</w:t>
            </w:r>
          </w:p>
        </w:tc>
        <w:tc>
          <w:tcPr>
            <w:tcW w:w="102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各10次</w:t>
            </w:r>
          </w:p>
        </w:tc>
        <w:tc>
          <w:tcPr>
            <w:tcW w:w="226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直道摆幅、单圈时间、弯道退出情况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急停与保护</w:t>
            </w:r>
          </w:p>
        </w:tc>
        <w:tc>
          <w:tcPr>
            <w:tcW w:w="4082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运行中按确认/返回，并验证22/10/32 s超时和6800 mm超程</w:t>
            </w:r>
          </w:p>
        </w:tc>
        <w:tc>
          <w:tcPr>
            <w:tcW w:w="1020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各5次</w:t>
            </w:r>
          </w:p>
        </w:tc>
        <w:tc>
          <w:tcPr>
            <w:tcW w:w="226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制动延迟、状态显示、是否误重启</w:t>
            </w:r>
          </w:p>
        </w:tc>
      </w:tr>
    </w:tbl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表3  底盘分项测试方案</w:t>
      </w:r>
    </w:p>
    <w:p>
      <w:pPr>
        <w:keepNext/>
        <w:spacing w:before="100" w:after="40"/>
      </w:pPr>
      <w:r>
        <w:rPr>
          <w:rFonts w:ascii="黑体" w:hAnsi="黑体" w:eastAsia="黑体"/>
          <w:sz w:val="28"/>
        </w:rPr>
        <w:t>4.3 测试结果记录表</w:t>
      </w:r>
    </w:p>
    <w:tbl>
      <w:tblPr>
        <w:tblStyle w:val="32"/>
        <w:tblW w:w="0" w:type="auto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461"/>
        <w:gridCol w:w="1461"/>
        <w:gridCol w:w="1461"/>
        <w:gridCol w:w="1461"/>
        <w:gridCol w:w="1461"/>
      </w:tblGrid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项目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题目/设计目标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平均值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最大误差</w:t>
            </w:r>
          </w:p>
        </w:tc>
        <w:tc>
          <w:tcPr>
            <w:tcW w:w="1077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成功率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结论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A—B停车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目标1500 mm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07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待填写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高速单圈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稳定完成并回A点停车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07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待填写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稳速单圈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低加速度、无脱线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07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待填写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丢线恢复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20控制步内恢复，否则停车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07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待填写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直道航向辅助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减小摆幅且弯道自动退出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07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待填写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人工/安全停车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按键、超时、超程均可靠制动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24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07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待实测</w:t>
            </w:r>
          </w:p>
        </w:tc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待填写</w:t>
            </w:r>
          </w:p>
        </w:tc>
      </w:tr>
    </w:tbl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表4  实车测试结果汇总（待联调填写）</w:t>
      </w:r>
    </w:p>
    <w:p>
      <w:pPr>
        <w:keepNext/>
        <w:spacing w:before="160" w:after="80"/>
      </w:pPr>
      <w:r>
        <w:rPr>
          <w:rFonts w:ascii="黑体" w:hAnsi="黑体" w:eastAsia="黑体"/>
          <w:sz w:val="32"/>
        </w:rPr>
        <w:t>五、结果分析与后续标定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现阶段已完成从灰度采样、误差计算、PD差速、弯道降速、丢线恢复、直道航向辅助到比赛状态机的完整软件闭环，并实现编码器定距、横线停车、独立计时和多重安全保护。程序参数集中在vehicle_config.h，便于比赛现场只修改标定量而不改动控制流程。</w:t>
      </w:r>
    </w:p>
    <w:tbl>
      <w:tblPr>
        <w:tblStyle w:val="32"/>
        <w:tblW w:w="0" w:type="auto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1"/>
        <w:gridCol w:w="2191"/>
        <w:gridCol w:w="2191"/>
        <w:gridCol w:w="2191"/>
      </w:tblGrid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误差来源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影响机理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现有措施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7"/>
              </w:rPr>
              <w:t>后续验证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轮径与编码器系数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轮胎压缩、磨损和左右轮直径差导致里程比例误差</w:t>
            </w:r>
          </w:p>
        </w:tc>
        <w:tc>
          <w:tcPr>
            <w:tcW w:w="260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左右计数取绝对值平均，参数集中配置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用1000 mm基准线重新拟合C/N0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制动惯性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电机、电池电压和负载改变停车距离</w:t>
            </w:r>
          </w:p>
        </w:tc>
        <w:tc>
          <w:tcPr>
            <w:tcW w:w="260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1250 mm降速、1480 mm提前制动、TB6612短路制动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按电量分组统计停车误差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灰度阈值与安装高度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环境光和探头高度改变有效路数与偏差跳变</w:t>
            </w:r>
          </w:p>
        </w:tc>
        <w:tc>
          <w:tcPr>
            <w:tcW w:w="260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数字输出、误差限速、外侧探头优先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室内不同照明下测试阈值裕量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直道与弯道耦合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航向环若在弯道工作会抵消循迹转向</w:t>
            </w:r>
          </w:p>
        </w:tc>
        <w:tc>
          <w:tcPr>
            <w:tcW w:w="260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角速度、外侧探头和误差三条件立即解锁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记录G356帧与PWM验证退出时刻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显示阻塞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软件SPI占用主循环造成终点横线漏采样</w:t>
            </w:r>
          </w:p>
        </w:tc>
        <w:tc>
          <w:tcPr>
            <w:tcW w:w="260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5000 mm后暂停发送，SysTick独立计时</w:t>
            </w:r>
          </w:p>
        </w:tc>
        <w:tc>
          <w:tcPr>
            <w:tcW w:w="1871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7"/>
              </w:rPr>
              <w:t>示波器测量刷新前后控制周期</w:t>
            </w:r>
          </w:p>
        </w:tc>
      </w:tr>
    </w:tbl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表5  主要误差来源与改进方向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下一阶段应首先完成八路探头方向确认和PD参数整定，再标定A—B制动距离、单圈终点武装距离及高速/稳速曲线。待控球板安装后，需要在相同底盘程序下重新测量重心变化、转弯侧向加速度和停车惯性，必要时仅调整基础速度与制动提前量，避免在比赛前大幅改变已经验证的状态机。</w:t>
      </w:r>
    </w:p>
    <w:p>
      <w:pPr>
        <w:keepNext/>
        <w:spacing w:before="160" w:after="80"/>
      </w:pPr>
      <w:r>
        <w:rPr>
          <w:rFonts w:ascii="黑体" w:hAnsi="黑体" w:eastAsia="黑体"/>
          <w:sz w:val="32"/>
        </w:rPr>
        <w:t>六、阶段性结论</w:t>
      </w:r>
    </w:p>
    <w:p>
      <w:pPr>
        <w:spacing w:after="0" w:line="300" w:lineRule="auto"/>
        <w:ind w:firstLine="480"/>
        <w:jc w:val="both"/>
      </w:pPr>
      <w:r>
        <w:rPr>
          <w:rFonts w:ascii="宋体" w:hAnsi="宋体" w:eastAsia="宋体"/>
          <w:sz w:val="24"/>
        </w:rPr>
        <w:t>本文给出了车载平衡滚球系统底盘部分的完整设计初稿。两轮差速结构降低了机构和控制复杂度；八路灰度加权误差与分级PD兼顾高速直道和半圆弯；G356仅在满足直道条件时提供小幅航向修正；编码器、横线判据和状态机共同完成定距与单圈停车。当前方案已具备实车联调基础，最终报告应以不少于10次重复测试补齐平均值、最大误差、成功率和失败样例，并据此形成参数修改前后的对比结论。</w:t>
      </w:r>
    </w:p>
    <w:p>
      <w:pPr>
        <w:keepNext/>
        <w:spacing w:before="160" w:after="80"/>
      </w:pPr>
      <w:r>
        <w:rPr>
          <w:rFonts w:ascii="黑体" w:hAnsi="黑体" w:eastAsia="黑体"/>
          <w:sz w:val="32"/>
        </w:rPr>
        <w:t>参考文献</w:t>
      </w:r>
    </w:p>
    <w:p>
      <w:pPr>
        <w:spacing w:after="40" w:line="300" w:lineRule="auto"/>
        <w:jc w:val="left"/>
      </w:pPr>
      <w:r>
        <w:rPr>
          <w:rFonts w:ascii="宋体" w:hAnsi="宋体" w:eastAsia="宋体"/>
          <w:sz w:val="24"/>
        </w:rPr>
        <w:t>[1] Texas Instruments. MSPM0G350x Mixed-Signal Microcontrollers Data Sheet[Z].</w:t>
      </w:r>
    </w:p>
    <w:p>
      <w:pPr>
        <w:spacing w:after="40" w:line="300" w:lineRule="auto"/>
        <w:jc w:val="left"/>
      </w:pPr>
      <w:r>
        <w:rPr>
          <w:rFonts w:ascii="宋体" w:hAnsi="宋体" w:eastAsia="宋体"/>
          <w:sz w:val="24"/>
        </w:rPr>
        <w:t>[2] Texas Instruments. MSPM0 SDK DriverLib User Guide[Z].</w:t>
      </w:r>
    </w:p>
    <w:p>
      <w:pPr>
        <w:spacing w:after="40" w:line="300" w:lineRule="auto"/>
        <w:jc w:val="left"/>
      </w:pPr>
      <w:r>
        <w:rPr>
          <w:rFonts w:ascii="宋体" w:hAnsi="宋体" w:eastAsia="宋体"/>
          <w:sz w:val="24"/>
        </w:rPr>
        <w:t>[3] Toshiba Electronic Devices &amp; Storage Corporation. TB6612FNG Dual DC Motor Driver IC Data Sheet[Z].</w:t>
      </w:r>
    </w:p>
    <w:p>
      <w:pPr>
        <w:spacing w:after="40" w:line="300" w:lineRule="auto"/>
        <w:jc w:val="left"/>
      </w:pPr>
      <w:r>
        <w:rPr>
          <w:rFonts w:ascii="宋体" w:hAnsi="宋体" w:eastAsia="宋体"/>
          <w:sz w:val="24"/>
        </w:rPr>
        <w:t>[4] 王田苗, 陶永. 移动机器人控制技术[M]. 北京: 机械工业出版社.</w:t>
      </w:r>
    </w:p>
    <w:p>
      <w:pPr>
        <w:spacing w:after="40" w:line="300" w:lineRule="auto"/>
        <w:jc w:val="left"/>
      </w:pPr>
      <w:r>
        <w:rPr>
          <w:rFonts w:ascii="宋体" w:hAnsi="宋体" w:eastAsia="宋体"/>
          <w:sz w:val="24"/>
        </w:rPr>
        <w:t>[5] 胡寿松. 自动控制原理[M]. 北京: 科学出版社.</w:t>
      </w:r>
    </w:p>
    <w:p>
      <w:pPr>
        <w:keepNext/>
        <w:pageBreakBefore/>
        <w:spacing w:before="160" w:after="80"/>
      </w:pPr>
      <w:r>
        <w:rPr>
          <w:rFonts w:ascii="黑体" w:hAnsi="黑体" w:eastAsia="黑体"/>
          <w:sz w:val="32"/>
        </w:rPr>
        <w:t>附录A  底盘关键标定参数</w:t>
      </w:r>
    </w:p>
    <w:tbl>
      <w:tblPr>
        <w:tblStyle w:val="32"/>
        <w:tblW w:w="0" w:type="auto"/>
        <w:jc w:val="center"/>
        <w:tblBorders>
          <w:top w:val="single" w:color="7F8C8D" w:sz="6" w:space="0"/>
          <w:left w:val="single" w:color="7F8C8D" w:sz="6" w:space="0"/>
          <w:bottom w:val="single" w:color="7F8C8D" w:sz="6" w:space="0"/>
          <w:right w:val="single" w:color="7F8C8D" w:sz="6" w:space="0"/>
          <w:insideH w:val="single" w:color="7F8C8D" w:sz="6" w:space="0"/>
          <w:insideV w:val="single" w:color="7F8C8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2922"/>
        <w:gridCol w:w="2922"/>
      </w:tblGrid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参数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当前值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sz w:val="18"/>
              </w:rPr>
              <w:t>说明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驱动轮实测周长C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204.0 mm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需按实车复测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每轮一周编码器计数N0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730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需核对计数方式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循迹PD参数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Kp=55，Ki=0，Kd=15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输出限幅±260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普通弯/急弯阈值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1.25 / 2.40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对应加权位置误差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普通弯/急弯最小转向量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90 / 160 PWM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高速任务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直道锁定条件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|e|≤0.75，|ωz|≤8°/s，20步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仅直道辅助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直道解锁条件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|e|≥1.25或|ωz|≥18°/s或外侧探头触发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任一条件满足即退出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A—B减速/制动距离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1250 / 1480 mm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目标1500 mm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终点武装距离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300 mm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防止起点横线误判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单圈理论长度/超程阈值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6141.6 / 6800 mm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横线停车优先</w:t>
            </w:r>
          </w:p>
        </w:tc>
      </w:tr>
      <w:tr>
        <w:tblPrEx>
          <w:tblBorders>
            <w:top w:val="single" w:color="7F8C8D" w:sz="6" w:space="0"/>
            <w:left w:val="single" w:color="7F8C8D" w:sz="6" w:space="0"/>
            <w:bottom w:val="single" w:color="7F8C8D" w:sz="6" w:space="0"/>
            <w:right w:val="single" w:color="7F8C8D" w:sz="6" w:space="0"/>
            <w:insideH w:val="single" w:color="7F8C8D" w:sz="6" w:space="0"/>
            <w:insideV w:val="single" w:color="7F8C8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显示刷新/暂停里程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100 ms / 5000 mm</w:t>
            </w:r>
          </w:p>
        </w:tc>
        <w:tc>
          <w:tcPr>
            <w:tcW w:w="3118" w:type="dxa"/>
            <w:tcMar>
              <w:top w:w="80" w:type="dxa"/>
              <w:bottom w:w="80" w:type="dxa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宋体" w:hAnsi="宋体" w:eastAsia="宋体"/>
                <w:sz w:val="18"/>
              </w:rPr>
              <w:t>避免接近终点阻塞</w:t>
            </w:r>
          </w:p>
        </w:tc>
      </w:tr>
    </w:tbl>
    <w:p>
      <w:pPr>
        <w:keepNext/>
        <w:spacing w:before="20" w:after="80"/>
        <w:jc w:val="center"/>
      </w:pPr>
      <w:r>
        <w:rPr>
          <w:rFonts w:ascii="宋体" w:hAnsi="宋体" w:eastAsia="宋体"/>
          <w:sz w:val="21"/>
        </w:rPr>
        <w:t>表A.1  当前底盘标定参数</w:t>
      </w:r>
    </w:p>
    <w:sectPr>
      <w:footerReference r:id="rId3" w:type="default"/>
      <w:pgSz w:w="11906" w:h="16838"/>
      <w:pgMar w:top="1701" w:right="1440" w:bottom="1440" w:left="1701" w:header="850" w:footer="85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PAGE</w:instrTex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44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0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参赛队</dc:creator>
  <dc:description>阶段性初稿；实测数据待整车联调后补充。</dc:description>
  <cp:keywords>MSPM0G3507, 两轮差速, 八路灰度, G356, 编码器</cp:keywords>
  <cp:lastModifiedBy>天空微蓝心微暖</cp:lastModifiedBy>
  <dcterms:modified xsi:type="dcterms:W3CDTF">2026-07-30T01:38:08Z</dcterms:modified>
  <dc:subject>全国大学生电子设计竞赛控制类设计报告初稿</dc:subject>
  <dc:title>车载平衡滚球运动控制系统（H题）底盘运动控制部分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