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接口设计说明书(IDD)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IDD-SCHOOL-QA-001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基线定稿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2026-06-19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详细设计说明书(DDD)；前后端联调用例；接口自动化测试；OpenAPI定义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接口设计说明书(IDD).docx 对应 V1.3；独立版本文件用于版本审计。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V1.3</w:t>
            </w:r>
          </w:p>
        </w:tc>
        <w:tc>
          <w:tcPr>
            <w:tcW w:type="dxa" w:w="2520"/>
            <w:vAlign w:val="center"/>
          </w:tcPr>
          <w:p>
            <w:r>
              <w:t>2026-06-19</w:t>
            </w:r>
          </w:p>
        </w:tc>
        <w:tc>
          <w:tcPr>
            <w:tcW w:type="dxa" w:w="2520"/>
            <w:vAlign w:val="center"/>
          </w:tcPr>
          <w:p>
            <w:r>
              <w:t>基线定稿</w:t>
            </w:r>
          </w:p>
        </w:tc>
        <w:tc>
          <w:tcPr>
            <w:tcW w:type="dxa" w:w="2520"/>
            <w:vAlign w:val="center"/>
          </w:tcPr>
          <w:p>
            <w:r>
              <w:t>形成基线交付版本，补齐追踪关系和跨文档一致性</w:t>
            </w:r>
          </w:p>
        </w:tc>
      </w:tr>
    </w:tbl>
    <w:p/>
    <w:p>
      <w:pPr>
        <w:pStyle w:val="Heading1"/>
      </w:pPr>
      <w:r>
        <w:t>1. 接口概述</w:t>
      </w:r>
    </w:p>
    <w:p>
      <w:r>
        <w:t>接口采用REST + JSON为主，SSE用于流式问答，WebSocket用于实时提醒。所有路径以 /school-qa/v1 或 /school-qa/admin/v1 为基线前缀，由Spring Cloud Gateway统一接入。OpenAPI 3.0作为接口描述格式。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通用规范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5040"/>
            <w:vAlign w:val="center"/>
          </w:tcPr>
          <w:p>
            <w:r>
              <w:t>请求头</w:t>
            </w:r>
          </w:p>
        </w:tc>
        <w:tc>
          <w:tcPr>
            <w:tcW w:type="dxa" w:w="5040"/>
            <w:vAlign w:val="center"/>
          </w:tcPr>
          <w:p>
            <w:r>
              <w:t>Content-Type: application/json；Authorization: Bearer {token}；X-Request-Id: {uuid}；X-Client-Type: web|miniprogram|admin</w:t>
            </w:r>
          </w:p>
        </w:tc>
      </w:tr>
      <w:tr>
        <w:tc>
          <w:tcPr>
            <w:tcW w:type="dxa" w:w="5040"/>
            <w:vAlign w:val="center"/>
          </w:tcPr>
          <w:p>
            <w:r>
              <w:t>响应格式</w:t>
            </w:r>
          </w:p>
        </w:tc>
        <w:tc>
          <w:tcPr>
            <w:tcW w:type="dxa" w:w="5040"/>
            <w:vAlign w:val="center"/>
          </w:tcPr>
          <w:p>
            <w:r>
              <w:t>{code, message, data, requestId, timestamp}</w:t>
            </w:r>
          </w:p>
        </w:tc>
      </w:tr>
      <w:tr>
        <w:tc>
          <w:tcPr>
            <w:tcW w:type="dxa" w:w="5040"/>
            <w:vAlign w:val="center"/>
          </w:tcPr>
          <w:p>
            <w:r>
              <w:t>分页格式</w:t>
            </w:r>
          </w:p>
        </w:tc>
        <w:tc>
          <w:tcPr>
            <w:tcW w:type="dxa" w:w="5040"/>
            <w:vAlign w:val="center"/>
          </w:tcPr>
          <w:p>
            <w:r>
              <w:t>data.items + data.pagination(page,pageSize,totalItems,totalPages)</w:t>
            </w:r>
          </w:p>
        </w:tc>
      </w:tr>
      <w:tr>
        <w:tc>
          <w:tcPr>
            <w:tcW w:type="dxa" w:w="5040"/>
            <w:vAlign w:val="center"/>
          </w:tcPr>
          <w:p>
            <w:r>
              <w:t>时间格式</w:t>
            </w:r>
          </w:p>
        </w:tc>
        <w:tc>
          <w:tcPr>
            <w:tcW w:type="dxa" w:w="5040"/>
            <w:vAlign w:val="center"/>
          </w:tcPr>
          <w:p>
            <w:r>
              <w:t>ISO-8601，业务展示使用Asia/Shanghai</w:t>
            </w:r>
          </w:p>
        </w:tc>
      </w:tr>
      <w:tr>
        <w:tc>
          <w:tcPr>
            <w:tcW w:type="dxa" w:w="5040"/>
            <w:vAlign w:val="center"/>
          </w:tcPr>
          <w:p>
            <w:r>
              <w:t>鉴权</w:t>
            </w:r>
          </w:p>
        </w:tc>
        <w:tc>
          <w:tcPr>
            <w:tcW w:type="dxa" w:w="5040"/>
            <w:vAlign w:val="center"/>
          </w:tcPr>
          <w:p>
            <w:r>
              <w:t>公开接口免Token；用户接口需JWT；管理接口需admin/knowledge_manager等角色</w:t>
            </w:r>
          </w:p>
        </w:tc>
      </w:tr>
    </w:tbl>
    <w:p/>
    <w:p>
      <w:r>
        <w:rPr>
          <w:rFonts w:ascii="Consolas" w:hAnsi="Consolas" w:eastAsia="Consolas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{},</w:t>
        <w:br/>
        <w:t xml:space="preserve">  "requestId": "req-xxxx",</w:t>
        <w:br/>
        <w:t xml:space="preserve">  "timestamp": "2026-06-19T10:00:00+08:00"</w:t>
        <w:br/>
        <w:t>}</w:t>
      </w:r>
    </w:p>
    <w:p>
      <w:pPr>
        <w:pStyle w:val="Heading1"/>
      </w:pPr>
      <w:r>
        <w:t>3.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主要数据对象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/auth/cas/login</w:t>
            </w:r>
          </w:p>
        </w:tc>
        <w:tc>
          <w:tcPr>
            <w:tcW w:type="dxa" w:w="2520"/>
            <w:vAlign w:val="center"/>
          </w:tcPr>
          <w:p>
            <w:r>
              <w:t>CAS票据换取JWT</w:t>
            </w:r>
          </w:p>
        </w:tc>
        <w:tc>
          <w:tcPr>
            <w:tcW w:type="dxa" w:w="2520"/>
            <w:vAlign w:val="center"/>
          </w:tcPr>
          <w:p>
            <w:r>
              <w:t>users, students/teachers/parents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/auth/refresh</w:t>
            </w:r>
          </w:p>
        </w:tc>
        <w:tc>
          <w:tcPr>
            <w:tcW w:type="dxa" w:w="2520"/>
            <w:vAlign w:val="center"/>
          </w:tcPr>
          <w:p>
            <w:r>
              <w:t>刷新accessToken和refreshToken</w:t>
            </w:r>
          </w:p>
        </w:tc>
        <w:tc>
          <w:tcPr>
            <w:tcW w:type="dxa" w:w="2520"/>
            <w:vAlign w:val="center"/>
          </w:tcPr>
          <w:p>
            <w:r>
              <w:t>users,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</w:t>
            </w:r>
          </w:p>
        </w:tc>
        <w:tc>
          <w:tcPr>
            <w:tcW w:type="dxa" w:w="2520"/>
            <w:vAlign w:val="center"/>
          </w:tcPr>
          <w:p>
            <w:r>
              <w:t>发送非流式问答消息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/chat/messages/stream</w:t>
            </w:r>
          </w:p>
        </w:tc>
        <w:tc>
          <w:tcPr>
            <w:tcW w:type="dxa" w:w="2520"/>
            <w:vAlign w:val="center"/>
          </w:tcPr>
          <w:p>
            <w:r>
              <w:t>发送SSE流式问答消息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</w:t>
            </w:r>
          </w:p>
        </w:tc>
        <w:tc>
          <w:tcPr>
            <w:tcW w:type="dxa" w:w="2520"/>
            <w:vAlign w:val="center"/>
          </w:tcPr>
          <w:p>
            <w:r>
              <w:t>分页查询会话列表</w:t>
            </w:r>
          </w:p>
        </w:tc>
        <w:tc>
          <w:tcPr>
            <w:tcW w:type="dxa" w:w="2520"/>
            <w:vAlign w:val="center"/>
          </w:tcPr>
          <w:p>
            <w:r>
              <w:t>conversations,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/chat/conversations/{conversationId}/messages</w:t>
            </w:r>
          </w:p>
        </w:tc>
        <w:tc>
          <w:tcPr>
            <w:tcW w:type="dxa" w:w="2520"/>
            <w:vAlign w:val="center"/>
          </w:tcPr>
          <w:p>
            <w:r>
              <w:t>分页查询会话消息</w:t>
            </w:r>
          </w:p>
        </w:tc>
        <w:tc>
          <w:tcPr>
            <w:tcW w:type="dxa" w:w="2520"/>
            <w:vAlign w:val="center"/>
          </w:tcPr>
          <w:p>
            <w:r>
              <w:t>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/chat/messages/{messageId}/feedback</w:t>
            </w:r>
          </w:p>
        </w:tc>
        <w:tc>
          <w:tcPr>
            <w:tcW w:type="dxa" w:w="2520"/>
            <w:vAlign w:val="center"/>
          </w:tcPr>
          <w:p>
            <w:r>
              <w:t>提交满意度反馈</w:t>
            </w:r>
          </w:p>
        </w:tc>
        <w:tc>
          <w:tcPr>
            <w:tcW w:type="dxa" w:w="2520"/>
            <w:vAlign w:val="center"/>
          </w:tcPr>
          <w:p>
            <w:r>
              <w:t>feedbacks,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/edu/courses</w:t>
            </w:r>
          </w:p>
        </w:tc>
        <w:tc>
          <w:tcPr>
            <w:tcW w:type="dxa" w:w="2520"/>
            <w:vAlign w:val="center"/>
          </w:tcPr>
          <w:p>
            <w:r>
              <w:t>代理查询课程</w:t>
            </w:r>
          </w:p>
        </w:tc>
        <w:tc>
          <w:tcPr>
            <w:tcW w:type="dxa" w:w="2520"/>
            <w:vAlign w:val="center"/>
          </w:tcPr>
          <w:p>
            <w:r>
              <w:t>external_query_logs, Redis schedule缓存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/edu/exams</w:t>
            </w:r>
          </w:p>
        </w:tc>
        <w:tc>
          <w:tcPr>
            <w:tcW w:type="dxa" w:w="2520"/>
            <w:vAlign w:val="center"/>
          </w:tcPr>
          <w:p>
            <w:r>
              <w:t>代理查询考试</w:t>
            </w:r>
          </w:p>
        </w:tc>
        <w:tc>
          <w:tcPr>
            <w:tcW w:type="dxa" w:w="2520"/>
            <w:vAlign w:val="center"/>
          </w:tcPr>
          <w:p>
            <w:r>
              <w:t>external_query_logs, Redis exam缓存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/edu/grades</w:t>
            </w:r>
          </w:p>
        </w:tc>
        <w:tc>
          <w:tcPr>
            <w:tcW w:type="dxa" w:w="2520"/>
            <w:vAlign w:val="center"/>
          </w:tcPr>
          <w:p>
            <w:r>
              <w:t>代理查询成绩，默认脱敏</w:t>
            </w:r>
          </w:p>
        </w:tc>
        <w:tc>
          <w:tcPr>
            <w:tcW w:type="dxa" w:w="2520"/>
            <w:vAlign w:val="center"/>
          </w:tcPr>
          <w:p>
            <w:r>
              <w:t>external_query_logs,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/admin/knowledge-entries</w:t>
            </w:r>
          </w:p>
        </w:tc>
        <w:tc>
          <w:tcPr>
            <w:tcW w:type="dxa" w:w="2520"/>
            <w:vAlign w:val="center"/>
          </w:tcPr>
          <w:p>
            <w:r>
              <w:t>管理端查询知识条目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categories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/admin/knowledge-entries</w:t>
            </w:r>
          </w:p>
        </w:tc>
        <w:tc>
          <w:tcPr>
            <w:tcW w:type="dxa" w:w="2520"/>
            <w:vAlign w:val="center"/>
          </w:tcPr>
          <w:p>
            <w:r>
              <w:t>创建知识条目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entry_versions,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PUT</w:t>
            </w:r>
          </w:p>
        </w:tc>
        <w:tc>
          <w:tcPr>
            <w:tcW w:type="dxa" w:w="2520"/>
            <w:vAlign w:val="center"/>
          </w:tcPr>
          <w:p>
            <w:r>
              <w:t>/admin/knowledge-entries/{entryId}</w:t>
            </w:r>
          </w:p>
        </w:tc>
        <w:tc>
          <w:tcPr>
            <w:tcW w:type="dxa" w:w="2520"/>
            <w:vAlign w:val="center"/>
          </w:tcPr>
          <w:p>
            <w:r>
              <w:t>更新知识条目并产生版本</w:t>
            </w:r>
          </w:p>
        </w:tc>
        <w:tc>
          <w:tcPr>
            <w:tcW w:type="dxa" w:w="2520"/>
            <w:vAlign w:val="center"/>
          </w:tcPr>
          <w:p>
            <w:r>
              <w:t>knowledge_entries, entry_versions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DELETE</w:t>
            </w:r>
          </w:p>
        </w:tc>
        <w:tc>
          <w:tcPr>
            <w:tcW w:type="dxa" w:w="2520"/>
            <w:vAlign w:val="center"/>
          </w:tcPr>
          <w:p>
            <w:r>
              <w:t>/admin/knowledge-entries/{entryId}</w:t>
            </w:r>
          </w:p>
        </w:tc>
        <w:tc>
          <w:tcPr>
            <w:tcW w:type="dxa" w:w="2520"/>
            <w:vAlign w:val="center"/>
          </w:tcPr>
          <w:p>
            <w:r>
              <w:t>逻辑删除知识条目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/admin/unmatched-queries</w:t>
            </w:r>
          </w:p>
        </w:tc>
        <w:tc>
          <w:tcPr>
            <w:tcW w:type="dxa" w:w="2520"/>
            <w:vAlign w:val="center"/>
          </w:tcPr>
          <w:p>
            <w:r>
              <w:t>查询未命中问题</w:t>
            </w:r>
          </w:p>
        </w:tc>
        <w:tc>
          <w:tcPr>
            <w:tcW w:type="dxa" w:w="2520"/>
            <w:vAlign w:val="center"/>
          </w:tcPr>
          <w:p>
            <w:r>
              <w:t>unmatched_queries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PUT</w:t>
            </w:r>
          </w:p>
        </w:tc>
        <w:tc>
          <w:tcPr>
            <w:tcW w:type="dxa" w:w="2520"/>
            <w:vAlign w:val="center"/>
          </w:tcPr>
          <w:p>
            <w:r>
              <w:t>/admin/unmatched-queries/{queryId}/resolve</w:t>
            </w:r>
          </w:p>
        </w:tc>
        <w:tc>
          <w:tcPr>
            <w:tcW w:type="dxa" w:w="2520"/>
            <w:vAlign w:val="center"/>
          </w:tcPr>
          <w:p>
            <w:r>
              <w:t>转条目/忽略/合并未命中</w:t>
            </w:r>
          </w:p>
        </w:tc>
        <w:tc>
          <w:tcPr>
            <w:tcW w:type="dxa" w:w="2520"/>
            <w:vAlign w:val="center"/>
          </w:tcPr>
          <w:p>
            <w:r>
              <w:t>unmatched_queries, knowledge_entries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/admin/stats/overview</w:t>
            </w:r>
          </w:p>
        </w:tc>
        <w:tc>
          <w:tcPr>
            <w:tcW w:type="dxa" w:w="2520"/>
            <w:vAlign w:val="center"/>
          </w:tcPr>
          <w:p>
            <w:r>
              <w:t>统计概览</w:t>
            </w:r>
          </w:p>
        </w:tc>
        <w:tc>
          <w:tcPr>
            <w:tcW w:type="dxa" w:w="2520"/>
            <w:vAlign w:val="center"/>
          </w:tcPr>
          <w:p>
            <w:r>
              <w:t>daily_stats, hourly_stats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/health</w:t>
            </w:r>
          </w:p>
        </w:tc>
        <w:tc>
          <w:tcPr>
            <w:tcW w:type="dxa" w:w="2520"/>
            <w:vAlign w:val="center"/>
          </w:tcPr>
          <w:p>
            <w:r>
              <w:t>健康检查</w:t>
            </w:r>
          </w:p>
        </w:tc>
        <w:tc>
          <w:tcPr>
            <w:tcW w:type="dxa" w:w="2520"/>
            <w:vAlign w:val="center"/>
          </w:tcPr>
          <w:p>
            <w:r>
              <w:t>database, redis, elasticsearch, milvus, nlu</w:t>
            </w:r>
          </w:p>
        </w:tc>
      </w:tr>
    </w:tbl>
    <w:p/>
    <w:p>
      <w:pPr>
        <w:pStyle w:val="Heading1"/>
      </w:pPr>
      <w:r>
        <w:t>4. SRS接口对齐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SRS场景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接口响应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用户登录</w:t>
            </w:r>
          </w:p>
        </w:tc>
        <w:tc>
          <w:tcPr>
            <w:tcW w:type="dxa" w:w="5040"/>
            <w:vAlign w:val="center"/>
          </w:tcPr>
          <w:p>
            <w:r>
              <w:t>POST /auth/cas/login；POST /auth/refresh；POST /auth/logout</w:t>
            </w:r>
          </w:p>
        </w:tc>
      </w:tr>
      <w:tr>
        <w:tc>
          <w:tcPr>
            <w:tcW w:type="dxa" w:w="5040"/>
            <w:vAlign w:val="center"/>
          </w:tcPr>
          <w:p>
            <w:r>
              <w:t>问答会话</w:t>
            </w:r>
          </w:p>
        </w:tc>
        <w:tc>
          <w:tcPr>
            <w:tcW w:type="dxa" w:w="5040"/>
            <w:vAlign w:val="center"/>
          </w:tcPr>
          <w:p>
            <w:r>
              <w:t>POST /chat/messages；POST /chat/messages/stream；GET /chat/conversations</w:t>
            </w:r>
          </w:p>
        </w:tc>
      </w:tr>
      <w:tr>
        <w:tc>
          <w:tcPr>
            <w:tcW w:type="dxa" w:w="5040"/>
            <w:vAlign w:val="center"/>
          </w:tcPr>
          <w:p>
            <w:r>
              <w:t>课程考试成绩</w:t>
            </w:r>
          </w:p>
        </w:tc>
        <w:tc>
          <w:tcPr>
            <w:tcW w:type="dxa" w:w="5040"/>
            <w:vAlign w:val="center"/>
          </w:tcPr>
          <w:p>
            <w:r>
              <w:t>GET /edu/courses；GET /edu/exams；GET /edu/grades；GET /edu/classrooms/free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知识库维护</w:t>
            </w:r>
          </w:p>
        </w:tc>
        <w:tc>
          <w:tcPr>
            <w:tcW w:type="dxa" w:w="5040"/>
            <w:vAlign w:val="center"/>
          </w:tcPr>
          <w:p>
            <w:r>
              <w:t>GET/POST/PUT/DELETE /admin/knowledge-entries；版本恢复接口</w:t>
            </w:r>
          </w:p>
        </w:tc>
      </w:tr>
      <w:tr>
        <w:tc>
          <w:tcPr>
            <w:tcW w:type="dxa" w:w="5040"/>
            <w:vAlign w:val="center"/>
          </w:tcPr>
          <w:p>
            <w:r>
              <w:t>未命中闭环</w:t>
            </w:r>
          </w:p>
        </w:tc>
        <w:tc>
          <w:tcPr>
            <w:tcW w:type="dxa" w:w="5040"/>
            <w:vAlign w:val="center"/>
          </w:tcPr>
          <w:p>
            <w:r>
              <w:t>GET /admin/unmatched-queries；PUT /admin/unmatched-queries/{queryId}/resolve</w:t>
            </w:r>
          </w:p>
        </w:tc>
      </w:tr>
    </w:tbl>
    <w:p/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/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>
      <w:pPr>
        <w:pStyle w:val="Heading1"/>
      </w:pPr>
      <w:r>
        <w:t>5. 接口级约束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约束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5040"/>
            <w:vAlign w:val="center"/>
          </w:tcPr>
          <w:p>
            <w:r>
              <w:t>幂等</w:t>
            </w:r>
          </w:p>
        </w:tc>
        <w:tc>
          <w:tcPr>
            <w:tcW w:type="dxa" w:w="5040"/>
            <w:vAlign w:val="center"/>
          </w:tcPr>
          <w:p>
            <w:r>
              <w:t>POST导入、反馈、外部查询可携带Idempotency-Key，5分钟内重复请求返回同一结果</w:t>
            </w:r>
          </w:p>
        </w:tc>
      </w:tr>
      <w:tr>
        <w:tc>
          <w:tcPr>
            <w:tcW w:type="dxa" w:w="5040"/>
            <w:vAlign w:val="center"/>
          </w:tcPr>
          <w:p>
            <w:r>
              <w:t>限流</w:t>
            </w:r>
          </w:p>
        </w:tc>
        <w:tc>
          <w:tcPr>
            <w:tcW w:type="dxa" w:w="5040"/>
            <w:vAlign w:val="center"/>
          </w:tcPr>
          <w:p>
            <w:r>
              <w:t>匿名接口30次/分钟，登录用户120次/分钟，管理导入10次/小时</w:t>
            </w:r>
          </w:p>
        </w:tc>
      </w:tr>
      <w:tr>
        <w:tc>
          <w:tcPr>
            <w:tcW w:type="dxa" w:w="5040"/>
            <w:vAlign w:val="center"/>
          </w:tcPr>
          <w:p>
            <w:r>
              <w:t>脱敏</w:t>
            </w:r>
          </w:p>
        </w:tc>
        <w:tc>
          <w:tcPr>
            <w:tcW w:type="dxa" w:w="5040"/>
            <w:vAlign w:val="center"/>
          </w:tcPr>
          <w:p>
            <w:r>
              <w:t>成绩、身份证、手机号、授权关系按角色和场景脱敏</w:t>
            </w:r>
          </w:p>
        </w:tc>
      </w:tr>
      <w:tr>
        <w:tc>
          <w:tcPr>
            <w:tcW w:type="dxa" w:w="5040"/>
            <w:vAlign w:val="center"/>
          </w:tcPr>
          <w:p>
            <w:r>
              <w:t>外部超时</w:t>
            </w:r>
          </w:p>
        </w:tc>
        <w:tc>
          <w:tcPr>
            <w:tcW w:type="dxa" w:w="5040"/>
            <w:vAlign w:val="center"/>
          </w:tcPr>
          <w:p>
            <w:r>
              <w:t>教务/OA/CAS接口超时3-5秒，失败返回50201并记录external_query_logs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文件上传</w:t>
            </w:r>
          </w:p>
        </w:tc>
        <w:tc>
          <w:tcPr>
            <w:tcW w:type="dxa" w:w="5040"/>
            <w:vAlign w:val="center"/>
          </w:tcPr>
          <w:p>
            <w:r>
              <w:t>附件最大20MB，允许docx/pdf/xlsx/png/jpg，保存MinIO object_key</w:t>
            </w:r>
          </w:p>
        </w:tc>
      </w:tr>
    </w:tbl>
    <w:p/>
    <w:p>
      <w:pPr>
        <w:pStyle w:val="Heading1"/>
      </w:pPr>
      <w:r>
        <w:t>基线追踪关系</w:t>
      </w:r>
    </w:p>
    <w:p>
      <w:r>
        <w:t>V1.3将SRS需求、接口、数据库对象和详细设计模块建立闭环。后续变更必须同步评估四类文档的影响。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SRS条目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接口(IDD)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数据对象(DBDD)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实现模块(DDD)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SRS-FR-01 登录认证</w:t>
            </w:r>
          </w:p>
        </w:tc>
        <w:tc>
          <w:tcPr>
            <w:tcW w:type="dxa" w:w="2520"/>
            <w:vAlign w:val="center"/>
          </w:tcPr>
          <w:p>
            <w:r>
              <w:t>IDD /auth/*</w:t>
            </w:r>
          </w:p>
        </w:tc>
        <w:tc>
          <w:tcPr>
            <w:tcW w:type="dxa" w:w="2520"/>
            <w:vAlign w:val="center"/>
          </w:tcPr>
          <w:p>
            <w:r>
              <w:t>DBDD users、students、teachers、parents、parent_authorizations</w:t>
            </w:r>
          </w:p>
        </w:tc>
        <w:tc>
          <w:tcPr>
            <w:tcW w:type="dxa" w:w="2520"/>
            <w:vAlign w:val="center"/>
          </w:tcPr>
          <w:p>
            <w:r>
              <w:t>DDD AuthService、UserService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SRS-FR-02 校务问答</w:t>
            </w:r>
          </w:p>
        </w:tc>
        <w:tc>
          <w:tcPr>
            <w:tcW w:type="dxa" w:w="2520"/>
            <w:vAlign w:val="center"/>
          </w:tcPr>
          <w:p>
            <w:r>
              <w:t>IDD /chat/messages、/chat/messages/stream</w:t>
            </w:r>
          </w:p>
        </w:tc>
        <w:tc>
          <w:tcPr>
            <w:tcW w:type="dxa" w:w="2520"/>
            <w:vAlign w:val="center"/>
          </w:tcPr>
          <w:p>
            <w:r>
              <w:t>DBDD conversations、messages、intents</w:t>
            </w:r>
          </w:p>
        </w:tc>
        <w:tc>
          <w:tcPr>
            <w:tcW w:type="dxa" w:w="2520"/>
            <w:vAlign w:val="center"/>
          </w:tcPr>
          <w:p>
            <w:r>
              <w:t>DDD ConversationService、NluClient、AnswerOrchestrator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SRS-FR-03 课程/考试/成绩查询</w:t>
            </w:r>
          </w:p>
        </w:tc>
        <w:tc>
          <w:tcPr>
            <w:tcW w:type="dxa" w:w="2520"/>
            <w:vAlign w:val="center"/>
          </w:tcPr>
          <w:p>
            <w:r>
              <w:t>IDD /edu/courses、/edu/exams、/edu/grades</w:t>
            </w:r>
          </w:p>
        </w:tc>
        <w:tc>
          <w:tcPr>
            <w:tcW w:type="dxa" w:w="2520"/>
            <w:vAlign w:val="center"/>
          </w:tcPr>
          <w:p>
            <w:r>
              <w:t>DBDD external_query_logs、audit_logs、Redis缓存键</w:t>
            </w:r>
          </w:p>
        </w:tc>
        <w:tc>
          <w:tcPr>
            <w:tcW w:type="dxa" w:w="2520"/>
            <w:vAlign w:val="center"/>
          </w:tcPr>
          <w:p>
            <w:r>
              <w:t>DDD EduProxyService、CachePolicy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SRS-FR-04 知识库管理</w:t>
            </w:r>
          </w:p>
        </w:tc>
        <w:tc>
          <w:tcPr>
            <w:tcW w:type="dxa" w:w="2520"/>
            <w:vAlign w:val="center"/>
          </w:tcPr>
          <w:p>
            <w:r>
              <w:t>IDD /admin/knowledge-entries/*、/admin/categories/*</w:t>
            </w:r>
          </w:p>
        </w:tc>
        <w:tc>
          <w:tcPr>
            <w:tcW w:type="dxa" w:w="2520"/>
            <w:vAlign w:val="center"/>
          </w:tcPr>
          <w:p>
            <w:r>
              <w:t>DBDD categories、knowledge_entries、entry_versions、attachments</w:t>
            </w:r>
          </w:p>
        </w:tc>
        <w:tc>
          <w:tcPr>
            <w:tcW w:type="dxa" w:w="2520"/>
            <w:vAlign w:val="center"/>
          </w:tcPr>
          <w:p>
            <w:r>
              <w:t>DDD KnowledgeService、VersionService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SRS-FR-05 未命中闭环</w:t>
            </w:r>
          </w:p>
        </w:tc>
        <w:tc>
          <w:tcPr>
            <w:tcW w:type="dxa" w:w="2520"/>
            <w:vAlign w:val="center"/>
          </w:tcPr>
          <w:p>
            <w:r>
              <w:t>IDD /admin/unmatched-queries/*</w:t>
            </w:r>
          </w:p>
        </w:tc>
        <w:tc>
          <w:tcPr>
            <w:tcW w:type="dxa" w:w="2520"/>
            <w:vAlign w:val="center"/>
          </w:tcPr>
          <w:p>
            <w:r>
              <w:t>DBDD unmatched_queries、notifications</w:t>
            </w:r>
          </w:p>
        </w:tc>
        <w:tc>
          <w:tcPr>
            <w:tcW w:type="dxa" w:w="2520"/>
            <w:vAlign w:val="center"/>
          </w:tcPr>
          <w:p>
            <w:r>
              <w:t>DDD UnmatchedQueryService、NotificationService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SRS-NFR-01 安全审计</w:t>
            </w:r>
          </w:p>
        </w:tc>
        <w:tc>
          <w:tcPr>
            <w:tcW w:type="dxa" w:w="2520"/>
            <w:vAlign w:val="center"/>
          </w:tcPr>
          <w:p>
            <w:r>
              <w:t>IDD 错误码、鉴权、限流与审计头</w:t>
            </w:r>
          </w:p>
        </w:tc>
        <w:tc>
          <w:tcPr>
            <w:tcW w:type="dxa" w:w="2520"/>
            <w:vAlign w:val="center"/>
          </w:tcPr>
          <w:p>
            <w:r>
              <w:t>DBDD audit_logs、sensitive_words</w:t>
            </w:r>
          </w:p>
        </w:tc>
        <w:tc>
          <w:tcPr>
            <w:tcW w:type="dxa" w:w="2520"/>
            <w:vAlign w:val="center"/>
          </w:tcPr>
          <w:p>
            <w:r>
              <w:t>DDD SecurityFilter、AuditAspect、SensitiveWordService</w:t>
            </w:r>
          </w:p>
        </w:tc>
      </w:tr>
    </w:tbl>
    <w:p/>
    <w:p>
      <w:pPr>
        <w:pStyle w:val="Heading1"/>
      </w:pPr>
      <w:r>
        <w:t>6. 基线接口说明</w:t>
      </w:r>
    </w:p>
    <w:p>
      <w:r>
        <w:t>IDD V1.3为前后端联调和接口自动化测试的基线。新增接口必须同时补充：路径、方法、鉴权角色、请求/响应结构、错误码、主要数据对象和DDD实现模块。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