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详细设计说明书(DDD)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元信息项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t>文档编号</w:t>
            </w:r>
          </w:p>
        </w:tc>
        <w:tc>
          <w:tcPr>
            <w:tcW w:type="dxa" w:w="5040"/>
            <w:vAlign w:val="center"/>
          </w:tcPr>
          <w:p>
            <w:r>
              <w:t>DDD-SCHOOL-QA-001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</w:t>
            </w:r>
          </w:p>
        </w:tc>
        <w:tc>
          <w:tcPr>
            <w:tcW w:type="dxa" w:w="5040"/>
            <w:vAlign w:val="center"/>
          </w:tcPr>
          <w:p>
            <w:r>
              <w:t>V1.3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</w:t>
            </w:r>
          </w:p>
        </w:tc>
        <w:tc>
          <w:tcPr>
            <w:tcW w:type="dxa" w:w="5040"/>
            <w:vAlign w:val="center"/>
          </w:tcPr>
          <w:p>
            <w:r>
              <w:t>基线定稿</w:t>
            </w:r>
          </w:p>
        </w:tc>
      </w:tr>
      <w:tr>
        <w:tc>
          <w:tcPr>
            <w:tcW w:type="dxa" w:w="5040"/>
            <w:vAlign w:val="center"/>
          </w:tcPr>
          <w:p>
            <w:r>
              <w:t>日期</w:t>
            </w:r>
          </w:p>
        </w:tc>
        <w:tc>
          <w:tcPr>
            <w:tcW w:type="dxa" w:w="5040"/>
            <w:vAlign w:val="center"/>
          </w:tcPr>
          <w:p>
            <w:r>
              <w:t>2026-06-19</w:t>
            </w:r>
          </w:p>
        </w:tc>
      </w:tr>
      <w:tr>
        <w:tc>
          <w:tcPr>
            <w:tcW w:type="dxa" w:w="5040"/>
            <w:vAlign w:val="center"/>
          </w:tcPr>
          <w:p>
            <w:r>
              <w:t>上游</w:t>
            </w:r>
          </w:p>
        </w:tc>
        <w:tc>
          <w:tcPr>
            <w:tcW w:type="dxa" w:w="5040"/>
            <w:vAlign w:val="center"/>
          </w:tcPr>
          <w:p>
            <w:r>
              <w:t>软件需求规格说明书(SRS) V1.3；系统概要设计说明书(SSDD) V1.3；数据库设计说明书(DBDD) V1.3；接口设计说明书(IDD) V1.3</w:t>
            </w:r>
          </w:p>
        </w:tc>
      </w:tr>
      <w:tr>
        <w:tc>
          <w:tcPr>
            <w:tcW w:type="dxa" w:w="5040"/>
            <w:vAlign w:val="center"/>
          </w:tcPr>
          <w:p>
            <w:r>
              <w:t>下游</w:t>
            </w:r>
          </w:p>
        </w:tc>
        <w:tc>
          <w:tcPr>
            <w:tcW w:type="dxa" w:w="5040"/>
            <w:vAlign w:val="center"/>
          </w:tcPr>
          <w:p>
            <w:r>
              <w:t>编码实现；单元测试；集成测试；部署脚本；运维手册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版本关系</w:t>
            </w:r>
          </w:p>
        </w:tc>
        <w:tc>
          <w:tcPr>
            <w:tcW w:type="dxa" w:w="5040"/>
            <w:vAlign w:val="center"/>
          </w:tcPr>
          <w:p>
            <w:r>
              <w:t>原始交付文件 详细设计说明书(DDD).docx 对应 V1.3；独立版本文件用于版本审计。</w:t>
            </w:r>
          </w:p>
        </w:tc>
      </w:tr>
    </w:tbl>
    <w:p/>
    <w:p>
      <w:pPr>
        <w:pStyle w:val="Heading1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主要变更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V1.0</w:t>
            </w:r>
          </w:p>
        </w:tc>
        <w:tc>
          <w:tcPr>
            <w:tcW w:type="dxa" w:w="2520"/>
            <w:vAlign w:val="center"/>
          </w:tcPr>
          <w:p>
            <w:r>
              <w:t>2026-05-24</w:t>
            </w:r>
          </w:p>
        </w:tc>
        <w:tc>
          <w:tcPr>
            <w:tcW w:type="dxa" w:w="2520"/>
            <w:vAlign w:val="center"/>
          </w:tcPr>
          <w:p>
            <w:r>
              <w:t>初稿</w:t>
            </w:r>
          </w:p>
        </w:tc>
        <w:tc>
          <w:tcPr>
            <w:tcW w:type="dxa" w:w="2520"/>
            <w:vAlign w:val="center"/>
          </w:tcPr>
          <w:p>
            <w:r>
              <w:t>建立初始架构、数据、接口和模块边界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V1.1</w:t>
            </w:r>
          </w:p>
        </w:tc>
        <w:tc>
          <w:tcPr>
            <w:tcW w:type="dxa" w:w="2520"/>
            <w:vAlign w:val="center"/>
          </w:tcPr>
          <w:p>
            <w:r>
              <w:t>2026-06-02</w:t>
            </w:r>
          </w:p>
        </w:tc>
        <w:tc>
          <w:tcPr>
            <w:tcW w:type="dxa" w:w="2520"/>
            <w:vAlign w:val="center"/>
          </w:tcPr>
          <w:p>
            <w:r>
              <w:t>SRS对齐稿</w:t>
            </w:r>
          </w:p>
        </w:tc>
        <w:tc>
          <w:tcPr>
            <w:tcW w:type="dxa" w:w="2520"/>
            <w:vAlign w:val="center"/>
          </w:tcPr>
          <w:p>
            <w:r>
              <w:t>按SRS补齐角色、场景、非功能需求和外部系统边界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V1.2</w:t>
            </w:r>
          </w:p>
        </w:tc>
        <w:tc>
          <w:tcPr>
            <w:tcW w:type="dxa" w:w="2520"/>
            <w:vAlign w:val="center"/>
          </w:tcPr>
          <w:p>
            <w:r>
              <w:t>2026-06-10</w:t>
            </w:r>
          </w:p>
        </w:tc>
        <w:tc>
          <w:tcPr>
            <w:tcW w:type="dxa" w:w="2520"/>
            <w:vAlign w:val="center"/>
          </w:tcPr>
          <w:p>
            <w:r>
              <w:t>安全与约束完善稿</w:t>
            </w:r>
          </w:p>
        </w:tc>
        <w:tc>
          <w:tcPr>
            <w:tcW w:type="dxa" w:w="2520"/>
            <w:vAlign w:val="center"/>
          </w:tcPr>
          <w:p>
            <w:r>
              <w:t>补充安全、异常、数据约束、限流、审计和降级策略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V1.3</w:t>
            </w:r>
          </w:p>
        </w:tc>
        <w:tc>
          <w:tcPr>
            <w:tcW w:type="dxa" w:w="2520"/>
            <w:vAlign w:val="center"/>
          </w:tcPr>
          <w:p>
            <w:r>
              <w:t>2026-06-19</w:t>
            </w:r>
          </w:p>
        </w:tc>
        <w:tc>
          <w:tcPr>
            <w:tcW w:type="dxa" w:w="2520"/>
            <w:vAlign w:val="center"/>
          </w:tcPr>
          <w:p>
            <w:r>
              <w:t>基线定稿</w:t>
            </w:r>
          </w:p>
        </w:tc>
        <w:tc>
          <w:tcPr>
            <w:tcW w:type="dxa" w:w="2520"/>
            <w:vAlign w:val="center"/>
          </w:tcPr>
          <w:p>
            <w:r>
              <w:t>形成基线交付版本，补齐追踪关系和跨文档一致性</w:t>
            </w:r>
          </w:p>
        </w:tc>
      </w:tr>
    </w:tbl>
    <w:p/>
    <w:p>
      <w:pPr>
        <w:pStyle w:val="Heading1"/>
      </w:pPr>
      <w:r>
        <w:t>1. 引言</w:t>
      </w:r>
    </w:p>
    <w:p>
      <w:r>
        <w:t>本文档依据SSDD、DBDD和IDD，对校务问答机器人系统进行模块级详细设计。正式实现口径为Java 17 + Spring Boot 3.x业务服务、Python 3.10 + FastAPI NLU模型服务、MySQL/Redis/Elasticsearch/Milvus/MinIO数据基础设施；不再采用单体FastAPI或SQLite作为生产设计。</w:t>
      </w:r>
    </w:p>
    <w:p>
      <w:pPr>
        <w:pStyle w:val="Heading1"/>
      </w:pPr>
      <w:r>
        <w:t>统一技术栈</w:t>
      </w:r>
    </w:p>
    <w:p>
      <w:r>
        <w:t>本项目所有设计文档采用同一技术口径：Java业务服务承担认证、用户、对话、知识库、管理和统计等稳定业务能力；Python FastAPI仅作为NLU/Embedding模型服务；数据库以MySQL为结构化主库，Redis、Elasticsearch、Milvus和MinIO分别承担缓存、全文检索、向量检索和对象存储。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t>用户端</w:t>
            </w:r>
          </w:p>
        </w:tc>
        <w:tc>
          <w:tcPr>
            <w:tcW w:type="dxa" w:w="3360"/>
            <w:vAlign w:val="center"/>
          </w:tcPr>
          <w:p>
            <w:r>
              <w:t>uni-app + Vue 3 + TypeScript + Vant/uni-ui</w:t>
            </w:r>
          </w:p>
        </w:tc>
        <w:tc>
          <w:tcPr>
            <w:tcW w:type="dxa" w:w="3360"/>
            <w:vAlign w:val="center"/>
          </w:tcPr>
          <w:p>
            <w:r>
              <w:t>H5与微信小程序统一实现，调用 /school-qa/v1 API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管理端</w:t>
            </w:r>
          </w:p>
        </w:tc>
        <w:tc>
          <w:tcPr>
            <w:tcW w:type="dxa" w:w="3360"/>
            <w:vAlign w:val="center"/>
          </w:tcPr>
          <w:p>
            <w:r>
              <w:t>React 18 + TypeScript + Ant Design Pro</w:t>
            </w:r>
          </w:p>
        </w:tc>
        <w:tc>
          <w:tcPr>
            <w:tcW w:type="dxa" w:w="3360"/>
            <w:vAlign w:val="center"/>
          </w:tcPr>
          <w:p>
            <w:r>
              <w:t>知识库、未命中问题、统计与系统配置管理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API网关</w:t>
            </w:r>
          </w:p>
        </w:tc>
        <w:tc>
          <w:tcPr>
            <w:tcW w:type="dxa" w:w="3360"/>
            <w:vAlign w:val="center"/>
          </w:tcPr>
          <w:p>
            <w:r>
              <w:t>Spring Cloud Gateway</w:t>
            </w:r>
          </w:p>
        </w:tc>
        <w:tc>
          <w:tcPr>
            <w:tcW w:type="dxa" w:w="3360"/>
            <w:vAlign w:val="center"/>
          </w:tcPr>
          <w:p>
            <w:r>
              <w:t>统一路由、鉴权前置、限流、Trace ID注入</w:t>
            </w:r>
          </w:p>
        </w:tc>
      </w:tr>
      <w:tr>
        <w:tc>
          <w:tcPr>
            <w:tcW w:type="dxa" w:w="3360"/>
            <w:vAlign w:val="center"/>
          </w:tcPr>
          <w:p>
            <w:r>
              <w:t>业务服务</w:t>
            </w:r>
          </w:p>
        </w:tc>
        <w:tc>
          <w:tcPr>
            <w:tcW w:type="dxa" w:w="3360"/>
            <w:vAlign w:val="center"/>
          </w:tcPr>
          <w:p>
            <w:r>
              <w:t>Java 17 + Spring Boot 3.x</w:t>
            </w:r>
          </w:p>
        </w:tc>
        <w:tc>
          <w:tcPr>
            <w:tcW w:type="dxa" w:w="3360"/>
            <w:vAlign w:val="center"/>
          </w:tcPr>
          <w:p>
            <w:r>
              <w:t>认证、用户、对话、知识库、管理、统计等核心业务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NLU服务</w:t>
            </w:r>
          </w:p>
        </w:tc>
        <w:tc>
          <w:tcPr>
            <w:tcW w:type="dxa" w:w="3360"/>
            <w:vAlign w:val="center"/>
          </w:tcPr>
          <w:p>
            <w:r>
              <w:t>Python 3.10 + FastAPI + PyTorch/Transformers</w:t>
            </w:r>
          </w:p>
        </w:tc>
        <w:tc>
          <w:tcPr>
            <w:tcW w:type="dxa" w:w="3360"/>
            <w:vAlign w:val="center"/>
          </w:tcPr>
          <w:p>
            <w:r>
              <w:t>意图识别、实体抽取、Embedding生成，通过内部REST调用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数据存储</w:t>
            </w:r>
          </w:p>
        </w:tc>
        <w:tc>
          <w:tcPr>
            <w:tcW w:type="dxa" w:w="3360"/>
            <w:vAlign w:val="center"/>
          </w:tcPr>
          <w:p>
            <w:r>
              <w:t>MySQL 8.0.33 + Redis 7.2 + Elasticsearch 8.11 + Milvus 2.3 + MinIO</w:t>
            </w:r>
          </w:p>
        </w:tc>
        <w:tc>
          <w:tcPr>
            <w:tcW w:type="dxa" w:w="3360"/>
            <w:vAlign w:val="center"/>
          </w:tcPr>
          <w:p>
            <w:r>
              <w:t>结构化数据、缓存、全文检索、向量检索与附件存储</w:t>
            </w:r>
          </w:p>
        </w:tc>
      </w:tr>
      <w:tr>
        <w:tc>
          <w:tcPr>
            <w:tcW w:type="dxa" w:w="3360"/>
            <w:vAlign w:val="center"/>
          </w:tcPr>
          <w:p>
            <w:r>
              <w:t>交付与运行</w:t>
            </w:r>
          </w:p>
        </w:tc>
        <w:tc>
          <w:tcPr>
            <w:tcW w:type="dxa" w:w="3360"/>
            <w:vAlign w:val="center"/>
          </w:tcPr>
          <w:p>
            <w:r>
              <w:t>Docker + Kubernetes + Prometheus/Grafana</w:t>
            </w:r>
          </w:p>
        </w:tc>
        <w:tc>
          <w:tcPr>
            <w:tcW w:type="dxa" w:w="3360"/>
            <w:vAlign w:val="center"/>
          </w:tcPr>
          <w:p>
            <w:r>
              <w:t>容器化部署、弹性伸缩、监控告警</w:t>
            </w:r>
          </w:p>
        </w:tc>
      </w:tr>
    </w:tbl>
    <w:p/>
    <w:p>
      <w:pPr>
        <w:pStyle w:val="Heading1"/>
      </w:pPr>
      <w:r>
        <w:t>接口、数据库与详细设计关系</w:t>
      </w:r>
    </w:p>
    <w:p>
      <w:r>
        <w:t>IDD定义外部和内部接口契约；DBDD定义接口落库与缓存对象；DDD定义实现这些接口的模块、类、流程、事务和异常处理；SSDD约束服务边界和跨模块协作。四类文档以SRS为共同上游，不再出现单体FastAPI或SQLite作为正式生产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路径/范围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与数据和模块的关系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外部REST</w:t>
            </w:r>
          </w:p>
        </w:tc>
        <w:tc>
          <w:tcPr>
            <w:tcW w:type="dxa" w:w="3360"/>
            <w:vAlign w:val="center"/>
          </w:tcPr>
          <w:p>
            <w:r>
              <w:t>/school-qa/v1</w:t>
            </w:r>
          </w:p>
        </w:tc>
        <w:tc>
          <w:tcPr>
            <w:tcW w:type="dxa" w:w="3360"/>
            <w:vAlign w:val="center"/>
          </w:tcPr>
          <w:p>
            <w:r>
              <w:t>用户端接口：认证、问答、课程考试成绩查询、反馈与建议问题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管理REST</w:t>
            </w:r>
          </w:p>
        </w:tc>
        <w:tc>
          <w:tcPr>
            <w:tcW w:type="dxa" w:w="3360"/>
            <w:vAlign w:val="center"/>
          </w:tcPr>
          <w:p>
            <w:r>
              <w:t>/school-qa/admin/v1</w:t>
            </w:r>
          </w:p>
        </w:tc>
        <w:tc>
          <w:tcPr>
            <w:tcW w:type="dxa" w:w="3360"/>
            <w:vAlign w:val="center"/>
          </w:tcPr>
          <w:p>
            <w:r>
              <w:t>管理端接口：知识库、分类、未命中、敏感词、统计、配置</w:t>
            </w:r>
          </w:p>
        </w:tc>
      </w:tr>
      <w:tr>
        <w:tc>
          <w:tcPr>
            <w:tcW w:type="dxa" w:w="3360"/>
            <w:vAlign w:val="center"/>
          </w:tcPr>
          <w:p>
            <w:r>
              <w:t>流式响应</w:t>
            </w:r>
          </w:p>
        </w:tc>
        <w:tc>
          <w:tcPr>
            <w:tcW w:type="dxa" w:w="3360"/>
            <w:vAlign w:val="center"/>
          </w:tcPr>
          <w:p>
            <w:r>
              <w:t>/school-qa/v1/chat/messages/stream</w:t>
            </w:r>
          </w:p>
        </w:tc>
        <w:tc>
          <w:tcPr>
            <w:tcW w:type="dxa" w:w="3360"/>
            <w:vAlign w:val="center"/>
          </w:tcPr>
          <w:p>
            <w:r>
              <w:t>SSE返回问答生成过程和最终答案</w:t>
            </w:r>
          </w:p>
        </w:tc>
      </w:tr>
      <w:tr>
        <w:tc>
          <w:tcPr>
            <w:tcW w:type="dxa" w:w="3360"/>
            <w:vAlign w:val="center"/>
          </w:tcPr>
          <w:p>
            <w:r>
              <w:t>实时通道</w:t>
            </w:r>
          </w:p>
        </w:tc>
        <w:tc>
          <w:tcPr>
            <w:tcW w:type="dxa" w:w="3360"/>
            <w:vAlign w:val="center"/>
          </w:tcPr>
          <w:p>
            <w:r>
              <w:t>/school-qa/ws/chat</w:t>
            </w:r>
          </w:p>
        </w:tc>
        <w:tc>
          <w:tcPr>
            <w:tcW w:type="dxa" w:w="3360"/>
            <w:vAlign w:val="center"/>
          </w:tcPr>
          <w:p>
            <w:r>
              <w:t>WebSocket推送输入中状态、消息和考试提醒</w:t>
            </w:r>
          </w:p>
        </w:tc>
      </w:tr>
      <w:tr>
        <w:tc>
          <w:tcPr>
            <w:tcW w:type="dxa" w:w="3360"/>
            <w:vAlign w:val="center"/>
          </w:tcPr>
          <w:p>
            <w:r>
              <w:t>内部服务</w:t>
            </w:r>
          </w:p>
        </w:tc>
        <w:tc>
          <w:tcPr>
            <w:tcW w:type="dxa" w:w="3360"/>
            <w:vAlign w:val="center"/>
          </w:tcPr>
          <w:p>
            <w:r>
              <w:t>/internal/nlu/*</w:t>
            </w:r>
          </w:p>
        </w:tc>
        <w:tc>
          <w:tcPr>
            <w:tcW w:type="dxa" w:w="3360"/>
            <w:vAlign w:val="center"/>
          </w:tcPr>
          <w:p>
            <w:r>
              <w:t>Java业务服务调用FastAPI NLU服务，不直接暴露给客户端</w:t>
            </w:r>
          </w:p>
        </w:tc>
      </w:tr>
    </w:tbl>
    <w:p/>
    <w:p>
      <w:pPr>
        <w:pStyle w:val="Heading1"/>
      </w:pPr>
      <w:r>
        <w:t>2. 模块详细设计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模块/类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技术归属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依赖关系</w:t>
            </w:r>
          </w:p>
        </w:tc>
      </w:tr>
      <w:tr>
        <w:tc>
          <w:tcPr>
            <w:tcW w:type="dxa" w:w="2520"/>
            <w:vAlign w:val="center"/>
          </w:tcPr>
          <w:p>
            <w:r>
              <w:t>GatewayFilter</w:t>
            </w:r>
          </w:p>
        </w:tc>
        <w:tc>
          <w:tcPr>
            <w:tcW w:type="dxa" w:w="2520"/>
            <w:vAlign w:val="center"/>
          </w:tcPr>
          <w:p>
            <w:r>
              <w:t>Spring Cloud Gateway</w:t>
            </w:r>
          </w:p>
        </w:tc>
        <w:tc>
          <w:tcPr>
            <w:tcW w:type="dxa" w:w="2520"/>
            <w:vAlign w:val="center"/>
          </w:tcPr>
          <w:p>
            <w:r>
              <w:t>校验Trace ID、限流、路由转发、统一跨域</w:t>
            </w:r>
          </w:p>
        </w:tc>
        <w:tc>
          <w:tcPr>
            <w:tcW w:type="dxa" w:w="2520"/>
            <w:vAlign w:val="center"/>
          </w:tcPr>
          <w:p>
            <w:r>
              <w:t>调用SecurityFilter和RateLimitPolicy</w:t>
            </w:r>
          </w:p>
        </w:tc>
      </w:tr>
      <w:tr>
        <w:tc>
          <w:tcPr>
            <w:tcW w:type="dxa" w:w="2520"/>
            <w:vAlign w:val="center"/>
          </w:tcPr>
          <w:p>
            <w:r>
              <w:t>AuthService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CAS票据校验、JWT签发/刷新/注销、RBAC角色解析</w:t>
            </w:r>
          </w:p>
        </w:tc>
        <w:tc>
          <w:tcPr>
            <w:tcW w:type="dxa" w:w="2520"/>
            <w:vAlign w:val="center"/>
          </w:tcPr>
          <w:p>
            <w:r>
              <w:t>users、audit_logs；实现IDD /auth/*</w:t>
            </w:r>
          </w:p>
        </w:tc>
      </w:tr>
      <w:tr>
        <w:tc>
          <w:tcPr>
            <w:tcW w:type="dxa" w:w="2520"/>
            <w:vAlign w:val="center"/>
          </w:tcPr>
          <w:p>
            <w:r>
              <w:t>UserService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用户资料、角色扩展、家长授权校验</w:t>
            </w:r>
          </w:p>
        </w:tc>
        <w:tc>
          <w:tcPr>
            <w:tcW w:type="dxa" w:w="2520"/>
            <w:vAlign w:val="center"/>
          </w:tcPr>
          <w:p>
            <w:r>
              <w:t>users、students、teachers、parents、parent_authorizations</w:t>
            </w:r>
          </w:p>
        </w:tc>
      </w:tr>
      <w:tr>
        <w:tc>
          <w:tcPr>
            <w:tcW w:type="dxa" w:w="2520"/>
            <w:vAlign w:val="center"/>
          </w:tcPr>
          <w:p>
            <w:r>
              <w:t>ConversationService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会话创建、消息持久化、上下文维护</w:t>
            </w:r>
          </w:p>
        </w:tc>
        <w:tc>
          <w:tcPr>
            <w:tcW w:type="dxa" w:w="2520"/>
            <w:vAlign w:val="center"/>
          </w:tcPr>
          <w:p>
            <w:r>
              <w:t>conversations、messages、Redis context</w:t>
            </w:r>
          </w:p>
        </w:tc>
      </w:tr>
      <w:tr>
        <w:tc>
          <w:tcPr>
            <w:tcW w:type="dxa" w:w="2520"/>
            <w:vAlign w:val="center"/>
          </w:tcPr>
          <w:p>
            <w:r>
              <w:t>NluClient</w:t>
            </w:r>
          </w:p>
        </w:tc>
        <w:tc>
          <w:tcPr>
            <w:tcW w:type="dxa" w:w="2520"/>
            <w:vAlign w:val="center"/>
          </w:tcPr>
          <w:p>
            <w:r>
              <w:t>Java HTTP Client</w:t>
            </w:r>
          </w:p>
        </w:tc>
        <w:tc>
          <w:tcPr>
            <w:tcW w:type="dxa" w:w="2520"/>
            <w:vAlign w:val="center"/>
          </w:tcPr>
          <w:p>
            <w:r>
              <w:t>调用FastAPI NLU服务并处理超时/降级</w:t>
            </w:r>
          </w:p>
        </w:tc>
        <w:tc>
          <w:tcPr>
            <w:tcW w:type="dxa" w:w="2520"/>
            <w:vAlign w:val="center"/>
          </w:tcPr>
          <w:p>
            <w:r>
              <w:t>internal /nlu/analyze</w:t>
            </w:r>
          </w:p>
        </w:tc>
      </w:tr>
      <w:tr>
        <w:tc>
          <w:tcPr>
            <w:tcW w:type="dxa" w:w="2520"/>
            <w:vAlign w:val="center"/>
          </w:tcPr>
          <w:p>
            <w:r>
              <w:t>NluService</w:t>
            </w:r>
          </w:p>
        </w:tc>
        <w:tc>
          <w:tcPr>
            <w:tcW w:type="dxa" w:w="2520"/>
            <w:vAlign w:val="center"/>
          </w:tcPr>
          <w:p>
            <w:r>
              <w:t>Python/FastAPI</w:t>
            </w:r>
          </w:p>
        </w:tc>
        <w:tc>
          <w:tcPr>
            <w:tcW w:type="dxa" w:w="2520"/>
            <w:vAlign w:val="center"/>
          </w:tcPr>
          <w:p>
            <w:r>
              <w:t>文本预处理、意图识别、实体抽取、Embedding生成</w:t>
            </w:r>
          </w:p>
        </w:tc>
        <w:tc>
          <w:tcPr>
            <w:tcW w:type="dxa" w:w="2520"/>
            <w:vAlign w:val="center"/>
          </w:tcPr>
          <w:p>
            <w:r>
              <w:t>PyTorch/Transformers、Milvus向量写入</w:t>
            </w:r>
          </w:p>
        </w:tc>
      </w:tr>
      <w:tr>
        <w:tc>
          <w:tcPr>
            <w:tcW w:type="dxa" w:w="2520"/>
            <w:vAlign w:val="center"/>
          </w:tcPr>
          <w:p>
            <w:r>
              <w:t>KnowledgeService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知识条目CRUD、版本管理、全文/向量融合检索</w:t>
            </w:r>
          </w:p>
        </w:tc>
        <w:tc>
          <w:tcPr>
            <w:tcW w:type="dxa" w:w="2520"/>
            <w:vAlign w:val="center"/>
          </w:tcPr>
          <w:p>
            <w:r>
              <w:t>knowledge_entries、entry_versions、Elasticsearch、Milvus</w:t>
            </w:r>
          </w:p>
        </w:tc>
      </w:tr>
      <w:tr>
        <w:tc>
          <w:tcPr>
            <w:tcW w:type="dxa" w:w="2520"/>
            <w:vAlign w:val="center"/>
          </w:tcPr>
          <w:p>
            <w:r>
              <w:t>EduProxyService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教务/OA/认证平台代理、缓存、熔断与脱敏</w:t>
            </w:r>
          </w:p>
        </w:tc>
        <w:tc>
          <w:tcPr>
            <w:tcW w:type="dxa" w:w="2520"/>
            <w:vAlign w:val="center"/>
          </w:tcPr>
          <w:p>
            <w:r>
              <w:t>external_query_logs、Redis</w:t>
            </w:r>
          </w:p>
        </w:tc>
      </w:tr>
      <w:tr>
        <w:tc>
          <w:tcPr>
            <w:tcW w:type="dxa" w:w="2520"/>
            <w:vAlign w:val="center"/>
          </w:tcPr>
          <w:p>
            <w:r>
              <w:t>SensitiveWordService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敏感词检测、阻断/替换、命中日志</w:t>
            </w:r>
          </w:p>
        </w:tc>
        <w:tc>
          <w:tcPr>
            <w:tcW w:type="dxa" w:w="2520"/>
            <w:vAlign w:val="center"/>
          </w:tcPr>
          <w:p>
            <w:r>
              <w:t>sensitive_words、audit_logs</w:t>
            </w:r>
          </w:p>
        </w:tc>
      </w:tr>
      <w:tr>
        <w:tc>
          <w:tcPr>
            <w:tcW w:type="dxa" w:w="2520"/>
            <w:vAlign w:val="center"/>
          </w:tcPr>
          <w:p>
            <w:r>
              <w:t>UnmatchedQueryService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未命中问题聚合、转知识条目、通知管理员</w:t>
            </w:r>
          </w:p>
        </w:tc>
        <w:tc>
          <w:tcPr>
            <w:tcW w:type="dxa" w:w="2520"/>
            <w:vAlign w:val="center"/>
          </w:tcPr>
          <w:p>
            <w:r>
              <w:t>unmatched_queries、notifications</w:t>
            </w:r>
          </w:p>
        </w:tc>
      </w:tr>
      <w:tr>
        <w:tc>
          <w:tcPr>
            <w:tcW w:type="dxa" w:w="2520"/>
            <w:vAlign w:val="center"/>
          </w:tcPr>
          <w:p>
            <w:r>
              <w:t>AdminStatsService</w:t>
            </w:r>
          </w:p>
        </w:tc>
        <w:tc>
          <w:tcPr>
            <w:tcW w:type="dxa" w:w="2520"/>
            <w:vAlign w:val="center"/>
          </w:tcPr>
          <w:p>
            <w:r>
              <w:t>Java/Spring Boot</w:t>
            </w:r>
          </w:p>
        </w:tc>
        <w:tc>
          <w:tcPr>
            <w:tcW w:type="dxa" w:w="2520"/>
            <w:vAlign w:val="center"/>
          </w:tcPr>
          <w:p>
            <w:r>
              <w:t>趋势、热门问题、命中率、满意度统计</w:t>
            </w:r>
          </w:p>
        </w:tc>
        <w:tc>
          <w:tcPr>
            <w:tcW w:type="dxa" w:w="2520"/>
            <w:vAlign w:val="center"/>
          </w:tcPr>
          <w:p>
            <w:r>
              <w:t>daily_stats、hourly_stats</w:t>
            </w:r>
          </w:p>
        </w:tc>
      </w:tr>
      <w:tr>
        <w:tc>
          <w:tcPr>
            <w:tcW w:type="dxa" w:w="2520"/>
            <w:vAlign w:val="center"/>
          </w:tcPr>
          <w:p>
            <w:r>
              <w:t>FrontendApiClient</w:t>
            </w:r>
          </w:p>
        </w:tc>
        <w:tc>
          <w:tcPr>
            <w:tcW w:type="dxa" w:w="2520"/>
            <w:vAlign w:val="center"/>
          </w:tcPr>
          <w:p>
            <w:r>
              <w:t>TypeScript</w:t>
            </w:r>
          </w:p>
        </w:tc>
        <w:tc>
          <w:tcPr>
            <w:tcW w:type="dxa" w:w="2520"/>
            <w:vAlign w:val="center"/>
          </w:tcPr>
          <w:p>
            <w:r>
              <w:t>统一封装JWT、Trace ID、错误码和分页</w:t>
            </w:r>
          </w:p>
        </w:tc>
        <w:tc>
          <w:tcPr>
            <w:tcW w:type="dxa" w:w="2520"/>
            <w:vAlign w:val="center"/>
          </w:tcPr>
          <w:p>
            <w:r>
              <w:t>调用IDD定义的REST/SSE/WebSocket接口</w:t>
            </w:r>
          </w:p>
        </w:tc>
      </w:tr>
    </w:tbl>
    <w:p/>
    <w:p>
      <w:pPr>
        <w:pStyle w:val="Heading1"/>
      </w:pPr>
      <w:r>
        <w:t>3. 核心处理流程</w:t>
      </w:r>
    </w:p>
    <w:p>
      <w:r>
        <w:rPr>
          <w:rFonts w:ascii="Consolas" w:hAnsi="Consolas" w:eastAsia="Consolas"/>
          <w:sz w:val="18"/>
        </w:rPr>
        <w:t>processMessage(userId, content, conversationId):</w:t>
        <w:br/>
        <w:t xml:space="preserve">  1. AuthService校验JWT并解析角色</w:t>
        <w:br/>
        <w:t xml:space="preserve">  2. ConversationService获取或创建会话，写入用户消息</w:t>
        <w:br/>
        <w:t xml:space="preserve">  3. NluClient调用FastAPI /internal/nlu/analyze，获得intent/entities/confidence</w:t>
        <w:br/>
        <w:t xml:space="preserve">  4. AnswerOrchestrator按意图路由到KnowledgeService或EduProxyService</w:t>
        <w:br/>
        <w:t xml:space="preserve">  5. 结果写入messages/intents/audit_logs，必要时更新统计</w:t>
        <w:br/>
        <w:t xml:space="preserve">  6. REST返回完整答案，SSE按thinking/text/done事件分段返回</w:t>
      </w:r>
    </w:p>
    <w:p>
      <w:pPr>
        <w:pStyle w:val="Heading1"/>
      </w:pPr>
      <w:r>
        <w:t>4. 数据映射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领域对象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数据库表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接口暴露字段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UserDTO</w:t>
            </w:r>
          </w:p>
        </w:tc>
        <w:tc>
          <w:tcPr>
            <w:tcW w:type="dxa" w:w="3360"/>
            <w:vAlign w:val="center"/>
          </w:tcPr>
          <w:p>
            <w:r>
              <w:t>users + 角色扩展表</w:t>
            </w:r>
          </w:p>
        </w:tc>
        <w:tc>
          <w:tcPr>
            <w:tcW w:type="dxa" w:w="3360"/>
            <w:vAlign w:val="center"/>
          </w:tcPr>
          <w:p>
            <w:r>
              <w:t>userId, username, realName, role, permissions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ConversationDTO</w:t>
            </w:r>
          </w:p>
        </w:tc>
        <w:tc>
          <w:tcPr>
            <w:tcW w:type="dxa" w:w="3360"/>
            <w:vAlign w:val="center"/>
          </w:tcPr>
          <w:p>
            <w:r>
              <w:t>conversations</w:t>
            </w:r>
          </w:p>
        </w:tc>
        <w:tc>
          <w:tcPr>
            <w:tcW w:type="dxa" w:w="3360"/>
            <w:vAlign w:val="center"/>
          </w:tcPr>
          <w:p>
            <w:r>
              <w:t>conversationId, title, channel, lastActivity, messageCount</w:t>
            </w:r>
          </w:p>
        </w:tc>
      </w:tr>
      <w:tr>
        <w:tc>
          <w:tcPr>
            <w:tcW w:type="dxa" w:w="3360"/>
            <w:vAlign w:val="center"/>
          </w:tcPr>
          <w:p>
            <w:r>
              <w:t>MessageDTO</w:t>
            </w:r>
          </w:p>
        </w:tc>
        <w:tc>
          <w:tcPr>
            <w:tcW w:type="dxa" w:w="3360"/>
            <w:vAlign w:val="center"/>
          </w:tcPr>
          <w:p>
            <w:r>
              <w:t>messages + intents</w:t>
            </w:r>
          </w:p>
        </w:tc>
        <w:tc>
          <w:tcPr>
            <w:tcW w:type="dxa" w:w="3360"/>
            <w:vAlign w:val="center"/>
          </w:tcPr>
          <w:p>
            <w:r>
              <w:t>messageId, role, content, intentType, confidence, createdAt</w:t>
            </w:r>
          </w:p>
        </w:tc>
      </w:tr>
      <w:tr>
        <w:tc>
          <w:tcPr>
            <w:tcW w:type="dxa" w:w="3360"/>
            <w:vAlign w:val="center"/>
          </w:tcPr>
          <w:p>
            <w:r>
              <w:t>KnowledgeEntryDTO</w:t>
            </w:r>
          </w:p>
        </w:tc>
        <w:tc>
          <w:tcPr>
            <w:tcW w:type="dxa" w:w="3360"/>
            <w:vAlign w:val="center"/>
          </w:tcPr>
          <w:p>
            <w:r>
              <w:t>knowledge_entries + categories</w:t>
            </w:r>
          </w:p>
        </w:tc>
        <w:tc>
          <w:tcPr>
            <w:tcW w:type="dxa" w:w="3360"/>
            <w:vAlign w:val="center"/>
          </w:tcPr>
          <w:p>
            <w:r>
              <w:t>entryId, title, categoryId, tags, answerSummary, status, versionNo</w:t>
            </w:r>
          </w:p>
        </w:tc>
      </w:tr>
      <w:tr>
        <w:tc>
          <w:tcPr>
            <w:tcW w:type="dxa" w:w="3360"/>
            <w:vAlign w:val="center"/>
          </w:tcPr>
          <w:p>
            <w:r>
              <w:t>FeedbackDTO</w:t>
            </w:r>
          </w:p>
        </w:tc>
        <w:tc>
          <w:tcPr>
            <w:tcW w:type="dxa" w:w="3360"/>
            <w:vAlign w:val="center"/>
          </w:tcPr>
          <w:p>
            <w:r>
              <w:t>feedbacks</w:t>
            </w:r>
          </w:p>
        </w:tc>
        <w:tc>
          <w:tcPr>
            <w:tcW w:type="dxa" w:w="3360"/>
            <w:vAlign w:val="center"/>
          </w:tcPr>
          <w:p>
            <w:r>
              <w:t>feedbackId, messageId, type, rating, comment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UnmatchedQueryDTO</w:t>
            </w:r>
          </w:p>
        </w:tc>
        <w:tc>
          <w:tcPr>
            <w:tcW w:type="dxa" w:w="3360"/>
            <w:vAlign w:val="center"/>
          </w:tcPr>
          <w:p>
            <w:r>
              <w:t>unmatched_queries</w:t>
            </w:r>
          </w:p>
        </w:tc>
        <w:tc>
          <w:tcPr>
            <w:tcW w:type="dxa" w:w="3360"/>
            <w:vAlign w:val="center"/>
          </w:tcPr>
          <w:p>
            <w:r>
              <w:t>queryId, originalText, occurrenceCount, status, lastSeenAt</w:t>
            </w:r>
          </w:p>
        </w:tc>
      </w:tr>
    </w:tbl>
    <w:p/>
    <w:p>
      <w:pPr>
        <w:pStyle w:val="Heading1"/>
      </w:pPr>
      <w:r>
        <w:t>5. SRS用例实现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实现模块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关键逻辑</w:t>
            </w:r>
          </w:p>
        </w:tc>
      </w:tr>
      <w:tr>
        <w:tc>
          <w:tcPr>
            <w:tcW w:type="dxa" w:w="3360"/>
            <w:vAlign w:val="center"/>
          </w:tcPr>
          <w:p>
            <w:r>
              <w:t>登录认证</w:t>
            </w:r>
          </w:p>
        </w:tc>
        <w:tc>
          <w:tcPr>
            <w:tcW w:type="dxa" w:w="3360"/>
            <w:vAlign w:val="center"/>
          </w:tcPr>
          <w:p>
            <w:r>
              <w:t>GatewayFilter、AuthService</w:t>
            </w:r>
          </w:p>
        </w:tc>
        <w:tc>
          <w:tcPr>
            <w:tcW w:type="dxa" w:w="3360"/>
            <w:vAlign w:val="center"/>
          </w:tcPr>
          <w:p>
            <w:r>
              <w:t>CAS票据验证、JWT签发、角色权限缓存</w:t>
            </w:r>
          </w:p>
        </w:tc>
      </w:tr>
      <w:tr>
        <w:tc>
          <w:tcPr>
            <w:tcW w:type="dxa" w:w="3360"/>
            <w:vAlign w:val="center"/>
          </w:tcPr>
          <w:p>
            <w:r>
              <w:t>发送问答</w:t>
            </w:r>
          </w:p>
        </w:tc>
        <w:tc>
          <w:tcPr>
            <w:tcW w:type="dxa" w:w="3360"/>
            <w:vAlign w:val="center"/>
          </w:tcPr>
          <w:p>
            <w:r>
              <w:t>ConversationService、NluClient、AnswerOrchestrator</w:t>
            </w:r>
          </w:p>
        </w:tc>
        <w:tc>
          <w:tcPr>
            <w:tcW w:type="dxa" w:w="3360"/>
            <w:vAlign w:val="center"/>
          </w:tcPr>
          <w:p>
            <w:r>
              <w:t>保存消息、识别意图、检索或代理外部系统、生成回答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管理知识库</w:t>
            </w:r>
          </w:p>
        </w:tc>
        <w:tc>
          <w:tcPr>
            <w:tcW w:type="dxa" w:w="3360"/>
            <w:vAlign w:val="center"/>
          </w:tcPr>
          <w:p>
            <w:r>
              <w:t>KnowledgeService、VersionService</w:t>
            </w:r>
          </w:p>
        </w:tc>
        <w:tc>
          <w:tcPr>
            <w:tcW w:type="dxa" w:w="3360"/>
            <w:vAlign w:val="center"/>
          </w:tcPr>
          <w:p>
            <w:r>
              <w:t>新增/更新/发布/回滚条目，异步同步ES和Milvus</w:t>
            </w:r>
          </w:p>
        </w:tc>
      </w:tr>
      <w:tr>
        <w:tc>
          <w:tcPr>
            <w:tcW w:type="dxa" w:w="3360"/>
            <w:vAlign w:val="center"/>
          </w:tcPr>
          <w:p>
            <w:r>
              <w:t>处理未命中</w:t>
            </w:r>
          </w:p>
        </w:tc>
        <w:tc>
          <w:tcPr>
            <w:tcW w:type="dxa" w:w="3360"/>
            <w:vAlign w:val="center"/>
          </w:tcPr>
          <w:p>
            <w:r>
              <w:t>UnmatchedQueryService</w:t>
            </w:r>
          </w:p>
        </w:tc>
        <w:tc>
          <w:tcPr>
            <w:tcW w:type="dxa" w:w="3360"/>
            <w:vAlign w:val="center"/>
          </w:tcPr>
          <w:p>
            <w:r>
              <w:t>按文本hash聚合、转知识条目、通知管理员</w:t>
            </w:r>
          </w:p>
        </w:tc>
      </w:tr>
      <w:tr>
        <w:tc>
          <w:tcPr>
            <w:tcW w:type="dxa" w:w="3360"/>
            <w:vAlign w:val="center"/>
          </w:tcPr>
          <w:p>
            <w:r>
              <w:t>查看统计</w:t>
            </w:r>
          </w:p>
        </w:tc>
        <w:tc>
          <w:tcPr>
            <w:tcW w:type="dxa" w:w="3360"/>
            <w:vAlign w:val="center"/>
          </w:tcPr>
          <w:p>
            <w:r>
              <w:t>AdminStatsService</w:t>
            </w:r>
          </w:p>
        </w:tc>
        <w:tc>
          <w:tcPr>
            <w:tcW w:type="dxa" w:w="3360"/>
            <w:vAlign w:val="center"/>
          </w:tcPr>
          <w:p>
            <w:r>
              <w:t>按日/小时聚合问答量、命中率、满意度</w:t>
            </w:r>
          </w:p>
        </w:tc>
      </w:tr>
    </w:tbl>
    <w:p/>
    <w:p>
      <w:pPr>
        <w:pStyle w:val="Heading1"/>
      </w:pPr>
      <w:r>
        <w:t>安全、异常与约束</w:t>
      </w:r>
    </w:p>
    <w:p>
      <w:r>
        <w:t>所有对外接口必须携带或生成 X-Request-Id，日志、审计、外部调用记录使用同一requestId贯穿。认证采用CAS/OAuth2登录与JWT访问令牌，管理端接口强制RBAC。敏感个人信息只在授权场景展示，成绩、证件号、手机号等字段默认脱敏。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处理策略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t>40001</w:t>
            </w:r>
          </w:p>
        </w:tc>
        <w:tc>
          <w:tcPr>
            <w:tcW w:type="dxa" w:w="3360"/>
            <w:vAlign w:val="center"/>
          </w:tcPr>
          <w:p>
            <w:r>
              <w:t>参数校验失败</w:t>
            </w:r>
          </w:p>
        </w:tc>
        <w:tc>
          <w:tcPr>
            <w:tcW w:type="dxa" w:w="3360"/>
            <w:vAlign w:val="center"/>
          </w:tcPr>
          <w:p>
            <w:r>
              <w:t>返回字段级错误errors[]，不进入业务处理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40101</w:t>
            </w:r>
          </w:p>
        </w:tc>
        <w:tc>
          <w:tcPr>
            <w:tcW w:type="dxa" w:w="3360"/>
            <w:vAlign w:val="center"/>
          </w:tcPr>
          <w:p>
            <w:r>
              <w:t>Token过期</w:t>
            </w:r>
          </w:p>
        </w:tc>
        <w:tc>
          <w:tcPr>
            <w:tcW w:type="dxa" w:w="3360"/>
            <w:vAlign w:val="center"/>
          </w:tcPr>
          <w:p>
            <w:r>
              <w:t>客户端尝试刷新，刷新失败则重新登录</w:t>
            </w:r>
          </w:p>
        </w:tc>
      </w:tr>
      <w:tr>
        <w:tc>
          <w:tcPr>
            <w:tcW w:type="dxa" w:w="3360"/>
            <w:vAlign w:val="center"/>
          </w:tcPr>
          <w:p>
            <w:r>
              <w:t>40301</w:t>
            </w:r>
          </w:p>
        </w:tc>
        <w:tc>
          <w:tcPr>
            <w:tcW w:type="dxa" w:w="3360"/>
            <w:vAlign w:val="center"/>
          </w:tcPr>
          <w:p>
            <w:r>
              <w:t>权限不足</w:t>
            </w:r>
          </w:p>
        </w:tc>
        <w:tc>
          <w:tcPr>
            <w:tcW w:type="dxa" w:w="3360"/>
            <w:vAlign w:val="center"/>
          </w:tcPr>
          <w:p>
            <w:r>
              <w:t>记录审计日志，返回最小必要错误信息</w:t>
            </w:r>
          </w:p>
        </w:tc>
      </w:tr>
      <w:tr>
        <w:tc>
          <w:tcPr>
            <w:tcW w:type="dxa" w:w="3360"/>
            <w:vAlign w:val="center"/>
          </w:tcPr>
          <w:p>
            <w:r>
              <w:t>40401</w:t>
            </w:r>
          </w:p>
        </w:tc>
        <w:tc>
          <w:tcPr>
            <w:tcW w:type="dxa" w:w="3360"/>
            <w:vAlign w:val="center"/>
          </w:tcPr>
          <w:p>
            <w:r>
              <w:t>资源不存在</w:t>
            </w:r>
          </w:p>
        </w:tc>
        <w:tc>
          <w:tcPr>
            <w:tcW w:type="dxa" w:w="3360"/>
            <w:vAlign w:val="center"/>
          </w:tcPr>
          <w:p>
            <w:r>
              <w:t>对不存在或无权访问资源统一返回404</w:t>
            </w:r>
          </w:p>
        </w:tc>
      </w:tr>
      <w:tr>
        <w:tc>
          <w:tcPr>
            <w:tcW w:type="dxa" w:w="3360"/>
            <w:vAlign w:val="center"/>
          </w:tcPr>
          <w:p>
            <w:r>
              <w:t>40901</w:t>
            </w:r>
          </w:p>
        </w:tc>
        <w:tc>
          <w:tcPr>
            <w:tcW w:type="dxa" w:w="3360"/>
            <w:vAlign w:val="center"/>
          </w:tcPr>
          <w:p>
            <w:r>
              <w:t>版本冲突</w:t>
            </w:r>
          </w:p>
        </w:tc>
        <w:tc>
          <w:tcPr>
            <w:tcW w:type="dxa" w:w="3360"/>
            <w:vAlign w:val="center"/>
          </w:tcPr>
          <w:p>
            <w:r>
              <w:t>知识条目更新使用version_no乐观锁</w:t>
            </w:r>
          </w:p>
        </w:tc>
      </w:tr>
      <w:tr>
        <w:tc>
          <w:tcPr>
            <w:tcW w:type="dxa" w:w="3360"/>
            <w:vAlign w:val="center"/>
          </w:tcPr>
          <w:p>
            <w:r>
              <w:t>42901</w:t>
            </w:r>
          </w:p>
        </w:tc>
        <w:tc>
          <w:tcPr>
            <w:tcW w:type="dxa" w:w="3360"/>
            <w:vAlign w:val="center"/>
          </w:tcPr>
          <w:p>
            <w:r>
              <w:t>请求过于频繁</w:t>
            </w:r>
          </w:p>
        </w:tc>
        <w:tc>
          <w:tcPr>
            <w:tcW w:type="dxa" w:w="3360"/>
            <w:vAlign w:val="center"/>
          </w:tcPr>
          <w:p>
            <w:r>
              <w:t>网关与业务双层限流，返回Retry-After</w:t>
            </w:r>
          </w:p>
        </w:tc>
      </w:tr>
      <w:tr>
        <w:tc>
          <w:tcPr>
            <w:tcW w:type="dxa" w:w="3360"/>
            <w:vAlign w:val="center"/>
          </w:tcPr>
          <w:p>
            <w:r>
              <w:t>50201</w:t>
            </w:r>
          </w:p>
        </w:tc>
        <w:tc>
          <w:tcPr>
            <w:tcW w:type="dxa" w:w="3360"/>
            <w:vAlign w:val="center"/>
          </w:tcPr>
          <w:p>
            <w:r>
              <w:t>外部系统不可用</w:t>
            </w:r>
          </w:p>
        </w:tc>
        <w:tc>
          <w:tcPr>
            <w:tcW w:type="dxa" w:w="3360"/>
            <w:vAlign w:val="center"/>
          </w:tcPr>
          <w:p>
            <w:r>
              <w:t>触发熔断/降级，提示稍后重试或返回缓存</w:t>
            </w:r>
          </w:p>
        </w:tc>
      </w:tr>
      <w:tr>
        <w:tc>
          <w:tcPr>
            <w:tcW w:type="dxa" w:w="3360"/>
            <w:vAlign w:val="center"/>
          </w:tcPr>
          <w:p>
            <w:r>
              <w:t>50000</w:t>
            </w:r>
          </w:p>
        </w:tc>
        <w:tc>
          <w:tcPr>
            <w:tcW w:type="dxa" w:w="3360"/>
            <w:vAlign w:val="center"/>
          </w:tcPr>
          <w:p>
            <w:r>
              <w:t>系统内部错误</w:t>
            </w:r>
          </w:p>
        </w:tc>
        <w:tc>
          <w:tcPr>
            <w:tcW w:type="dxa" w:w="3360"/>
            <w:vAlign w:val="center"/>
          </w:tcPr>
          <w:p>
            <w:r>
              <w:t>隐藏内部异常细节，关联requestId排障</w:t>
            </w:r>
          </w:p>
        </w:tc>
      </w:tr>
    </w:tbl>
    <w:p/>
    <w:p>
      <w:r>
        <w:t>关键约束包括：统一使用Asia/Shanghai业务时区；所有文本使用UTF-8；接口分页默认pageSize=20且最大100；知识条目更新采用version_no乐观锁；外部系统调用设置3-5秒超时、最多1次重试和熔断降级；涉及个人信息的查询必须写入audit_logs。</w:t>
      </w:r>
    </w:p>
    <w:p>
      <w:pPr>
        <w:pStyle w:val="Heading1"/>
      </w:pPr>
      <w:r>
        <w:t>6. 异常与事务设计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5040"/>
            <w:vAlign w:val="center"/>
          </w:tcPr>
          <w:p>
            <w:r>
              <w:t>知识条目更新</w:t>
            </w:r>
          </w:p>
        </w:tc>
        <w:tc>
          <w:tcPr>
            <w:tcW w:type="dxa" w:w="5040"/>
            <w:vAlign w:val="center"/>
          </w:tcPr>
          <w:p>
            <w:r>
              <w:t>单事务更新knowledge_entries并写entry_versions；version_no不一致返回40901</w:t>
            </w:r>
          </w:p>
        </w:tc>
      </w:tr>
      <w:tr>
        <w:tc>
          <w:tcPr>
            <w:tcW w:type="dxa" w:w="5040"/>
            <w:vAlign w:val="center"/>
          </w:tcPr>
          <w:p>
            <w:r>
              <w:t>外部系统超时</w:t>
            </w:r>
          </w:p>
        </w:tc>
        <w:tc>
          <w:tcPr>
            <w:tcW w:type="dxa" w:w="5040"/>
            <w:vAlign w:val="center"/>
          </w:tcPr>
          <w:p>
            <w:r>
              <w:t>EduProxyService捕获TimeoutException，记录external_query_logs，按缓存策略降级</w:t>
            </w:r>
          </w:p>
        </w:tc>
      </w:tr>
      <w:tr>
        <w:tc>
          <w:tcPr>
            <w:tcW w:type="dxa" w:w="5040"/>
            <w:vAlign w:val="center"/>
          </w:tcPr>
          <w:p>
            <w:r>
              <w:t>NLU服务不可用</w:t>
            </w:r>
          </w:p>
        </w:tc>
        <w:tc>
          <w:tcPr>
            <w:tcW w:type="dxa" w:w="5040"/>
            <w:vAlign w:val="center"/>
          </w:tcPr>
          <w:p>
            <w:r>
              <w:t>NluClient触发熔断，降级到关键词规则或返回澄清问题</w:t>
            </w:r>
          </w:p>
        </w:tc>
      </w:tr>
      <w:tr>
        <w:tc>
          <w:tcPr>
            <w:tcW w:type="dxa" w:w="5040"/>
            <w:vAlign w:val="center"/>
          </w:tcPr>
          <w:p>
            <w:r>
              <w:t>敏感词命中</w:t>
            </w:r>
          </w:p>
        </w:tc>
        <w:tc>
          <w:tcPr>
            <w:tcW w:type="dxa" w:w="5040"/>
            <w:vAlign w:val="center"/>
          </w:tcPr>
          <w:p>
            <w:r>
              <w:t>SensitiveWordService按策略阻断或替换，写audit_logs</w:t>
            </w:r>
          </w:p>
        </w:tc>
      </w:tr>
      <w:tr>
        <w:tc>
          <w:tcPr>
            <w:tcW w:type="dxa" w:w="5040"/>
            <w:vAlign w:val="center"/>
          </w:tcPr>
          <w:p>
            <w:r>
              <w:t>权限不足</w:t>
            </w:r>
          </w:p>
        </w:tc>
        <w:tc>
          <w:tcPr>
            <w:tcW w:type="dxa" w:w="5040"/>
            <w:vAlign w:val="center"/>
          </w:tcPr>
          <w:p>
            <w:r>
              <w:t>SecurityFilter返回40301，不暴露资源存在性</w:t>
            </w:r>
          </w:p>
        </w:tc>
      </w:tr>
    </w:tbl>
    <w:p/>
    <w:p>
      <w:pPr>
        <w:pStyle w:val="Heading1"/>
      </w:pPr>
      <w:r>
        <w:t>7. 构建与部署设计</w:t>
      </w:r>
    </w:p>
    <w:p>
      <w:r>
        <w:rPr>
          <w:rFonts w:ascii="Consolas" w:hAnsi="Consolas" w:eastAsia="Consolas"/>
          <w:sz w:val="18"/>
        </w:rPr>
        <w:t>services/</w:t>
        <w:br/>
        <w:t xml:space="preserve">  gateway-service/        Java 17 Spring Cloud Gateway</w:t>
        <w:br/>
        <w:t xml:space="preserve">  auth-service/           Java 17 Spring Boot</w:t>
        <w:br/>
        <w:t xml:space="preserve">  conversation-service/   Java 17 Spring Boot</w:t>
        <w:br/>
        <w:t xml:space="preserve">  knowledge-service/      Java 17 Spring Boot + ES/Milvus client</w:t>
        <w:br/>
        <w:t xml:space="preserve">  admin-service/          Java 17 Spring Boot</w:t>
        <w:br/>
        <w:t xml:space="preserve">  nlu-service/            Python 3.10 FastAPI + PyTorch</w:t>
        <w:br/>
        <w:t>frontends/</w:t>
        <w:br/>
        <w:t xml:space="preserve">  user-app/               uni-app Vue 3 TypeScript</w:t>
        <w:br/>
        <w:t xml:space="preserve">  admin-web/              React 18 Ant Design Pro</w:t>
      </w:r>
    </w:p>
    <w:p>
      <w:pPr>
        <w:pStyle w:val="Heading1"/>
      </w:pPr>
      <w:r>
        <w:t>基线追踪关系</w:t>
      </w:r>
    </w:p>
    <w:p>
      <w:r>
        <w:t>V1.3将SRS需求、接口、数据库对象和详细设计模块建立闭环。后续变更必须同步评估四类文档的影响。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SRS条目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接口(IDD)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数据对象(DBDD)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实现模块(DDD)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SRS-FR-01 登录认证</w:t>
            </w:r>
          </w:p>
        </w:tc>
        <w:tc>
          <w:tcPr>
            <w:tcW w:type="dxa" w:w="2520"/>
            <w:vAlign w:val="center"/>
          </w:tcPr>
          <w:p>
            <w:r>
              <w:t>IDD /auth/*</w:t>
            </w:r>
          </w:p>
        </w:tc>
        <w:tc>
          <w:tcPr>
            <w:tcW w:type="dxa" w:w="2520"/>
            <w:vAlign w:val="center"/>
          </w:tcPr>
          <w:p>
            <w:r>
              <w:t>DBDD users、students、teachers、parents、parent_authorizations</w:t>
            </w:r>
          </w:p>
        </w:tc>
        <w:tc>
          <w:tcPr>
            <w:tcW w:type="dxa" w:w="2520"/>
            <w:vAlign w:val="center"/>
          </w:tcPr>
          <w:p>
            <w:r>
              <w:t>DDD AuthService、UserService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SRS-FR-02 校务问答</w:t>
            </w:r>
          </w:p>
        </w:tc>
        <w:tc>
          <w:tcPr>
            <w:tcW w:type="dxa" w:w="2520"/>
            <w:vAlign w:val="center"/>
          </w:tcPr>
          <w:p>
            <w:r>
              <w:t>IDD /chat/messages、/chat/messages/stream</w:t>
            </w:r>
          </w:p>
        </w:tc>
        <w:tc>
          <w:tcPr>
            <w:tcW w:type="dxa" w:w="2520"/>
            <w:vAlign w:val="center"/>
          </w:tcPr>
          <w:p>
            <w:r>
              <w:t>DBDD conversations、messages、intents</w:t>
            </w:r>
          </w:p>
        </w:tc>
        <w:tc>
          <w:tcPr>
            <w:tcW w:type="dxa" w:w="2520"/>
            <w:vAlign w:val="center"/>
          </w:tcPr>
          <w:p>
            <w:r>
              <w:t>DDD ConversationService、NluClient、AnswerOrchestrator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SRS-FR-03 课程/考试/成绩查询</w:t>
            </w:r>
          </w:p>
        </w:tc>
        <w:tc>
          <w:tcPr>
            <w:tcW w:type="dxa" w:w="2520"/>
            <w:vAlign w:val="center"/>
          </w:tcPr>
          <w:p>
            <w:r>
              <w:t>IDD /edu/courses、/edu/exams、/edu/grades</w:t>
            </w:r>
          </w:p>
        </w:tc>
        <w:tc>
          <w:tcPr>
            <w:tcW w:type="dxa" w:w="2520"/>
            <w:vAlign w:val="center"/>
          </w:tcPr>
          <w:p>
            <w:r>
              <w:t>DBDD external_query_logs、audit_logs、Redis缓存键</w:t>
            </w:r>
          </w:p>
        </w:tc>
        <w:tc>
          <w:tcPr>
            <w:tcW w:type="dxa" w:w="2520"/>
            <w:vAlign w:val="center"/>
          </w:tcPr>
          <w:p>
            <w:r>
              <w:t>DDD EduProxyService、CachePolicy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SRS-FR-04 知识库管理</w:t>
            </w:r>
          </w:p>
        </w:tc>
        <w:tc>
          <w:tcPr>
            <w:tcW w:type="dxa" w:w="2520"/>
            <w:vAlign w:val="center"/>
          </w:tcPr>
          <w:p>
            <w:r>
              <w:t>IDD /admin/knowledge-entries/*、/admin/categories/*</w:t>
            </w:r>
          </w:p>
        </w:tc>
        <w:tc>
          <w:tcPr>
            <w:tcW w:type="dxa" w:w="2520"/>
            <w:vAlign w:val="center"/>
          </w:tcPr>
          <w:p>
            <w:r>
              <w:t>DBDD categories、knowledge_entries、entry_versions、attachments</w:t>
            </w:r>
          </w:p>
        </w:tc>
        <w:tc>
          <w:tcPr>
            <w:tcW w:type="dxa" w:w="2520"/>
            <w:vAlign w:val="center"/>
          </w:tcPr>
          <w:p>
            <w:r>
              <w:t>DDD KnowledgeService、VersionService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SRS-FR-05 未命中闭环</w:t>
            </w:r>
          </w:p>
        </w:tc>
        <w:tc>
          <w:tcPr>
            <w:tcW w:type="dxa" w:w="2520"/>
            <w:vAlign w:val="center"/>
          </w:tcPr>
          <w:p>
            <w:r>
              <w:t>IDD /admin/unmatched-queries/*</w:t>
            </w:r>
          </w:p>
        </w:tc>
        <w:tc>
          <w:tcPr>
            <w:tcW w:type="dxa" w:w="2520"/>
            <w:vAlign w:val="center"/>
          </w:tcPr>
          <w:p>
            <w:r>
              <w:t>DBDD unmatched_queries、notifications</w:t>
            </w:r>
          </w:p>
        </w:tc>
        <w:tc>
          <w:tcPr>
            <w:tcW w:type="dxa" w:w="2520"/>
            <w:vAlign w:val="center"/>
          </w:tcPr>
          <w:p>
            <w:r>
              <w:t>DDD UnmatchedQueryService、NotificationService</w:t>
            </w:r>
          </w:p>
        </w:tc>
      </w:tr>
      <w:tr>
        <w:tc>
          <w:tcPr>
            <w:tcW w:type="dxa" w:w="2520"/>
            <w:vAlign w:val="center"/>
          </w:tcPr>
          <w:p>
            <w:r>
              <w:t>SRS-NFR-01 安全审计</w:t>
            </w:r>
          </w:p>
        </w:tc>
        <w:tc>
          <w:tcPr>
            <w:tcW w:type="dxa" w:w="2520"/>
            <w:vAlign w:val="center"/>
          </w:tcPr>
          <w:p>
            <w:r>
              <w:t>IDD 错误码、鉴权、限流与审计头</w:t>
            </w:r>
          </w:p>
        </w:tc>
        <w:tc>
          <w:tcPr>
            <w:tcW w:type="dxa" w:w="2520"/>
            <w:vAlign w:val="center"/>
          </w:tcPr>
          <w:p>
            <w:r>
              <w:t>DBDD audit_logs、sensitive_words</w:t>
            </w:r>
          </w:p>
        </w:tc>
        <w:tc>
          <w:tcPr>
            <w:tcW w:type="dxa" w:w="2520"/>
            <w:vAlign w:val="center"/>
          </w:tcPr>
          <w:p>
            <w:r>
              <w:t>DDD SecurityFilter、AuditAspect、SensitiveWordService</w:t>
            </w:r>
          </w:p>
        </w:tc>
      </w:tr>
    </w:tbl>
    <w:p/>
    <w:p>
      <w:pPr>
        <w:pStyle w:val="Heading1"/>
      </w:pPr>
      <w:r>
        <w:t>8. 基线实现约束</w:t>
      </w:r>
    </w:p>
    <w:p>
      <w:r>
        <w:t>DDD V1.3是编码和单元测试的基线。代码实现需保持模块边界、接口路径、数据表和错误码一致；如实现中新增字段、接口或缓存键，应同时更新IDD、DBDD和DDD，并评估SSDD是否受影响。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