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非功能性需求(NFR)</w:t>
      </w:r>
    </w:p>
    <w:p>
      <w:pPr>
        <w:spacing w:after="480"/>
        <w:jc w:val="center"/>
      </w:pPr>
      <w:r>
        <w:drawing>
          <wp:inline>
            <wp:extent cx="1143000" cy="953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文档编号：NFR-SCHOOL-QA-001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状态：基线定稿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编制日期：2026年6月19日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hint="eastAsia"/>
        </w:rPr>
        <w:t xml:space="preserve">非功能性需求文档</w:t>
      </w:r>
      <w:r>
        <w:t xml:space="preserve"> — </w:t>
      </w:r>
      <w:r>
        <w:rPr>
          <w:rFonts w:hint="eastAsia"/>
        </w:rPr>
        <w:t xml:space="preserve">校务问答机器人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内容</w:t>
            </w:r>
          </w:p>
        </w:tc>
      </w:tr>
      <w:tr>
        <w:tc>
          <w:tcPr>
            <w:tcW w:type="dxa" w:w="4680"/>
          </w:tcPr>
          <w:p>
            <w:r>
              <w:t>文档名称</w:t>
            </w:r>
          </w:p>
        </w:tc>
        <w:tc>
          <w:tcPr>
            <w:tcW w:type="dxa" w:w="4680"/>
          </w:tcPr>
          <w:p>
            <w:r>
              <w:t>校务问答机器人 非功能性需求（NFR）</w:t>
            </w:r>
          </w:p>
        </w:tc>
      </w:tr>
      <w:tr>
        <w:tc>
          <w:tcPr>
            <w:tcW w:type="dxa" w:w="4680"/>
          </w:tcPr>
          <w:p>
            <w:r>
              <w:t>文档编号</w:t>
            </w:r>
          </w:p>
        </w:tc>
        <w:tc>
          <w:tcPr>
            <w:tcW w:type="dxa" w:w="4680"/>
          </w:tcPr>
          <w:p>
            <w:r>
              <w:t>NFR-SCHOOL-QA-001</w:t>
            </w:r>
          </w:p>
        </w:tc>
      </w:tr>
      <w:tr>
        <w:tc>
          <w:tcPr>
            <w:tcW w:type="dxa" w:w="4680"/>
          </w:tcPr>
          <w:p>
            <w:r>
              <w:t>文档类型</w:t>
            </w:r>
          </w:p>
        </w:tc>
        <w:tc>
          <w:tcPr>
            <w:tcW w:type="dxa" w:w="4680"/>
          </w:tcPr>
          <w:p>
            <w:r>
              <w:t>非功能性需求 NFR</w:t>
            </w:r>
          </w:p>
        </w:tc>
      </w:tr>
      <w:tr>
        <w:tc>
          <w:tcPr>
            <w:tcW w:type="dxa" w:w="4680"/>
          </w:tcPr>
          <w:p>
            <w:r>
              <w:t>当前版本</w:t>
            </w:r>
          </w:p>
        </w:tc>
        <w:tc>
          <w:tcPr>
            <w:tcW w:type="dxa" w:w="4680"/>
          </w:tcPr>
          <w:p>
            <w:r>
              <w:t>V1.3</w:t>
            </w:r>
          </w:p>
        </w:tc>
      </w:tr>
      <w:tr>
        <w:tc>
          <w:tcPr>
            <w:tcW w:type="dxa" w:w="4680"/>
          </w:tcPr>
          <w:p>
            <w:r>
              <w:t>版本状态</w:t>
            </w:r>
          </w:p>
        </w:tc>
        <w:tc>
          <w:tcPr>
            <w:tcW w:type="dxa" w:w="4680"/>
          </w:tcPr>
          <w:p>
            <w:r>
              <w:t>正式基线</w:t>
            </w:r>
          </w:p>
        </w:tc>
      </w:tr>
      <w:tr>
        <w:tc>
          <w:tcPr>
            <w:tcW w:type="dxa" w:w="4680"/>
          </w:tcPr>
          <w:p>
            <w:r>
              <w:t>最后更新</w:t>
            </w:r>
          </w:p>
        </w:tc>
        <w:tc>
          <w:tcPr>
            <w:tcW w:type="dxa" w:w="4680"/>
          </w:tcPr>
          <w:p>
            <w:r>
              <w:t>2026-06-19</w:t>
            </w:r>
          </w:p>
        </w:tc>
      </w:tr>
      <w:tr>
        <w:tc>
          <w:tcPr>
            <w:tcW w:type="dxa" w:w="4680"/>
          </w:tcPr>
          <w:p>
            <w:r>
              <w:t>版本来源/说明</w:t>
            </w:r>
          </w:p>
        </w:tc>
        <w:tc>
          <w:tcPr>
            <w:tcW w:type="dxa" w:w="4680"/>
          </w:tcPr>
          <w:p>
            <w:r>
              <w:t>由原文件“非功能性需求(NFR).docx”整理；源稿补充为V1.0文档头，版本副本补充修订记录和递进章节。</w:t>
            </w:r>
          </w:p>
        </w:tc>
      </w:tr>
    </w:tbl>
    <w:p>
      <w:pPr>
        <w:pStyle w:val="Heading2"/>
      </w:pPr>
      <w:r>
        <w:rPr>
          <w:b/>
        </w:rPr>
        <w:t>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版本</w:t>
            </w:r>
          </w:p>
        </w:tc>
        <w:tc>
          <w:tcPr>
            <w:tcW w:type="dxa" w:w="2340"/>
          </w:tcPr>
          <w:p>
            <w:r>
              <w:t>日期</w:t>
            </w:r>
          </w:p>
        </w:tc>
        <w:tc>
          <w:tcPr>
            <w:tcW w:type="dxa" w:w="2340"/>
          </w:tcPr>
          <w:p>
            <w:r>
              <w:t>修订说明</w:t>
            </w:r>
          </w:p>
        </w:tc>
        <w:tc>
          <w:tcPr>
            <w:tcW w:type="dxa" w:w="2340"/>
          </w:tcPr>
          <w:p>
            <w:r>
              <w:t>修订人</w:t>
            </w:r>
          </w:p>
        </w:tc>
      </w:tr>
      <w:tr>
        <w:tc>
          <w:tcPr>
            <w:tcW w:type="dxa" w:w="2340"/>
          </w:tcPr>
          <w:p>
            <w:r>
              <w:t>V1.0</w:t>
            </w:r>
          </w:p>
        </w:tc>
        <w:tc>
          <w:tcPr>
            <w:tcW w:type="dxa" w:w="2340"/>
          </w:tcPr>
          <w:p>
            <w:r>
              <w:t>2026-05-23</w:t>
            </w:r>
          </w:p>
        </w:tc>
        <w:tc>
          <w:tcPr>
            <w:tcW w:type="dxa" w:w="2340"/>
          </w:tcPr>
          <w:p>
            <w:r>
              <w:t>建立非功能需求初稿，定义性能、可用性、安全、可靠性、维护性、兼容性和运维指标。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  <w:tr>
        <w:tc>
          <w:tcPr>
            <w:tcW w:type="dxa" w:w="2340"/>
          </w:tcPr>
          <w:p>
            <w:r>
              <w:t>V1.1</w:t>
            </w:r>
          </w:p>
        </w:tc>
        <w:tc>
          <w:tcPr>
            <w:tcW w:type="dxa" w:w="2340"/>
          </w:tcPr>
          <w:p>
            <w:r>
              <w:t>2026-05-30</w:t>
            </w:r>
          </w:p>
        </w:tc>
        <w:tc>
          <w:tcPr>
            <w:tcW w:type="dxa" w:w="2340"/>
          </w:tcPr>
          <w:p>
            <w:r>
              <w:t>同步SRS V1.1扩展后的用户群和功能范围，补充性能、安全、容量和多端兼容验收方法。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  <w:tr>
        <w:tc>
          <w:tcPr>
            <w:tcW w:type="dxa" w:w="2340"/>
          </w:tcPr>
          <w:p>
            <w:r>
              <w:t>V1.2</w:t>
            </w:r>
          </w:p>
        </w:tc>
        <w:tc>
          <w:tcPr>
            <w:tcW w:type="dxa" w:w="2340"/>
          </w:tcPr>
          <w:p>
            <w:r>
              <w:t>2026-06-12</w:t>
            </w:r>
          </w:p>
        </w:tc>
        <w:tc>
          <w:tcPr>
            <w:tcW w:type="dxa" w:w="2340"/>
          </w:tcPr>
          <w:p>
            <w:r>
              <w:t>补充可测量SLO、监控告警、压测、安全测试、容灾演练和缺陷分级处理口径。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  <w:tr>
        <w:tc>
          <w:tcPr>
            <w:tcW w:type="dxa" w:w="2340"/>
          </w:tcPr>
          <w:p>
            <w:r>
              <w:t>V1.3</w:t>
            </w:r>
          </w:p>
        </w:tc>
        <w:tc>
          <w:tcPr>
            <w:tcW w:type="dxa" w:w="2340"/>
          </w:tcPr>
          <w:p>
            <w:r>
              <w:t>2026-06-19</w:t>
            </w:r>
          </w:p>
        </w:tc>
        <w:tc>
          <w:tcPr>
            <w:tcW w:type="dxa" w:w="2340"/>
          </w:tcPr>
          <w:p>
            <w:r>
              <w:t>形成非功能需求正式基线，固化指标优先级、验收准入、运维交接和变更控制要求。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</w:tbl>
    <w:p>
      <w:pPr>
        <w:pStyle w:val="Heading2"/>
      </w:pPr>
      <w:r>
        <w:t xml:space="preserve">1. </w:t>
      </w:r>
      <w:r>
        <w:rPr>
          <w:rFonts w:hint="eastAsia"/>
        </w:rPr>
        <w:t xml:space="preserve">性能需求</w:t>
      </w:r>
      <w:r>
        <w:t xml:space="preserve"> (Performance Requirements)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文本回复（知识库命中）</w:t>
            </w:r>
          </w:p>
        </w:tc>
        <w:tc>
          <w:tcPr/>
          <w:p>
            <w:pPr>
              <w:pStyle w:val="Compact"/>
            </w:pPr>
            <w:r>
              <w:t xml:space="preserve">P95 ≤ </w:t>
            </w:r>
            <w:r>
              <w:rPr>
                <w:rFonts w:hint="eastAsia"/>
              </w:rPr>
              <w:t xml:space="preserve">3秒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从用户发送消息到界面展示回复的时间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数据查询回复（含外部API调用）</w:t>
            </w:r>
          </w:p>
        </w:tc>
        <w:tc>
          <w:tcPr/>
          <w:p>
            <w:pPr>
              <w:pStyle w:val="Compact"/>
            </w:pPr>
            <w:r>
              <w:t xml:space="preserve">P95 ≤ </w:t>
            </w:r>
            <w:r>
              <w:rPr>
                <w:rFonts w:hint="eastAsia"/>
              </w:rPr>
              <w:t xml:space="preserve">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含教务系统/OA系统API调用耗时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NLU意图识别</w:t>
            </w:r>
          </w:p>
        </w:tc>
        <w:tc>
          <w:tcPr/>
          <w:p>
            <w:pPr>
              <w:pStyle w:val="Compact"/>
            </w:pPr>
            <w:r>
              <w:t xml:space="preserve">P95 ≤ 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NLP模型推理时间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</w:t>
            </w:r>
          </w:p>
        </w:tc>
        <w:tc>
          <w:tcPr/>
          <w:p>
            <w:pPr>
              <w:pStyle w:val="Compact"/>
            </w:pPr>
            <w:r>
              <w:t xml:space="preserve">P95 ≤ 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ES/向量数据库检索时间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管理后台页面加载</w:t>
            </w:r>
          </w:p>
        </w:tc>
        <w:tc>
          <w:tcPr/>
          <w:p>
            <w:pPr>
              <w:pStyle w:val="Compact"/>
            </w:pPr>
            <w:r>
              <w:t xml:space="preserve">P95 ≤ </w:t>
            </w:r>
            <w:r>
              <w:rPr>
                <w:rFonts w:hint="eastAsia"/>
              </w:rPr>
              <w:t xml:space="preserve">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首屏渲染完成时间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管理后台数据统计图表</w:t>
            </w:r>
          </w:p>
        </w:tc>
        <w:tc>
          <w:tcPr/>
          <w:p>
            <w:pPr>
              <w:pStyle w:val="Compact"/>
            </w:pPr>
            <w:r>
              <w:t xml:space="preserve">P95 ≤ </w:t>
            </w:r>
            <w:r>
              <w:rPr>
                <w:rFonts w:hint="eastAsia"/>
              </w:rPr>
              <w:t xml:space="preserve">3秒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含聚合查询+图表渲染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并发处理能力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支持≥500</w:t>
            </w:r>
            <w:r>
              <w:t xml:space="preserve"> 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使用JMeter压力测试</w:t>
            </w:r>
          </w:p>
        </w:tc>
      </w:tr>
    </w:tbl>
    <w:p>
      <w:pPr>
        <w:pStyle w:val="Heading3"/>
      </w:pPr>
      <w:r>
        <w:t xml:space="preserve">1.2 </w:t>
      </w:r>
      <w:r>
        <w:rPr>
          <w:rFonts w:hint="eastAsia"/>
        </w:rPr>
        <w:t xml:space="preserve">吞吐量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峰值并发用户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≥2000（考试周、选课期间峰值）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日活用户承载</w:t>
            </w:r>
          </w:p>
        </w:tc>
        <w:tc>
          <w:tcPr/>
          <w:p>
            <w:pPr>
              <w:pStyle w:val="Compact"/>
            </w:pPr>
            <w:r>
              <w:t xml:space="preserve">≥15,000 DAU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日消息量处理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≥100,000条/天</w:t>
            </w:r>
          </w:p>
        </w:tc>
      </w:tr>
    </w:tbl>
    <w:p>
      <w:pPr>
        <w:pStyle w:val="Heading3"/>
      </w:pPr>
      <w:r>
        <w:t xml:space="preserve">1.3 </w:t>
      </w:r>
      <w:r>
        <w:rPr>
          <w:rFonts w:hint="eastAsia"/>
        </w:rPr>
        <w:t xml:space="preserve">资源消耗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单实例CPU使用率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常态≤60%，峰值≤80%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单实例内存使用</w:t>
            </w:r>
          </w:p>
        </w:tc>
        <w:tc>
          <w:tcPr/>
          <w:p>
            <w:pPr>
              <w:pStyle w:val="Compact"/>
            </w:pPr>
            <w:r>
              <w:t xml:space="preserve">≤4GB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≤50连接/实例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≥80%（Redis）</w:t>
            </w:r>
          </w:p>
        </w:tc>
      </w:tr>
    </w:tbl>
    <w:bookmarkStart w:id="15" w:name="可用性需求-availability-requirements"/>
    <w:p>
      <w:pPr>
        <w:pStyle w:val="Heading2"/>
      </w:pPr>
      <w:r>
        <w:t xml:space="preserve">2. </w:t>
      </w:r>
      <w:r>
        <w:rPr>
          <w:rFonts w:hint="eastAsia"/>
        </w:rPr>
        <w:t xml:space="preserve">可用性需求</w:t>
      </w:r>
      <w:r>
        <w:t xml:space="preserve"> (Availability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NFR-AVAIL-01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服务可用率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≥99.5%（全年非计划停机≤43.8小时）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NFR-AVAIL-02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计划维护窗口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寒暑假凌晨2:00-6:00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NFR-AVAIL-03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故障恢复时间(RTO)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NFR-AVAIL-04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数据恢复点(RPO)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≤5分钟（数据库增量备份间隔）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NFR-AVAIL-05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单节点故障不导致服务中断</w:t>
            </w:r>
          </w:p>
        </w:tc>
      </w:tr>
    </w:tbl>
    <w:bookmarkEnd w:id="13"/>
    <w:p>
      <w:pPr>
        <w:pStyle w:val="Heading3"/>
      </w:pPr>
      <w:r>
        <w:t xml:space="preserve">2.2 </w:t>
      </w:r>
      <w:r>
        <w:rPr>
          <w:rFonts w:hint="eastAsia"/>
        </w:rPr>
        <w:t xml:space="preserve">降级策略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教务系统不可用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使用缓存数据</w:t>
            </w:r>
            <w:r>
              <w:t xml:space="preserve"> + </w:t>
            </w:r>
            <w:r>
              <w:rPr>
                <w:rFonts w:hint="eastAsia"/>
              </w:rPr>
              <w:t xml:space="preserve">提示”数据可能非最新”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课程/成绩/考试查询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NLP模型服务不可用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降级为关键词匹配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回答准确率暂时下降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知识库ES不可用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降级为MySQL全文检索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检索速度降低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Redis缓存不可用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响应时间可能增加1-2秒</w:t>
            </w:r>
          </w:p>
        </w:tc>
      </w:tr>
    </w:tbl>
    <w:bookmarkEnd w:id="14"/>
    <w:p>
      <w:pPr>
        <w:pStyle w:val="Heading2"/>
      </w:pPr>
      <w:r>
        <w:t xml:space="preserve">3. </w:t>
      </w:r>
      <w:r>
        <w:rPr>
          <w:rFonts w:hint="eastAsia"/>
        </w:rPr>
        <w:t xml:space="preserve">安全性需求</w:t>
      </w:r>
      <w:r>
        <w:t xml:space="preserve"> (Security Requirements)</w:t>
      </w:r>
    </w:p>
    <w:bookmarkStart w:id="16" w:name="认证与授权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统一认证接入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对接学校CAS/OAuth2.0统一身份认证平台，禁止系统存储明文密码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基于角色的访问控制(RBAC)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学生/教师/辅导员/管理员/家长/访客等角色权限隔离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Token管理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Token有效期2小时，支持Refresh</w:t>
            </w:r>
            <w:r>
              <w:t xml:space="preserve"> </w:t>
            </w:r>
            <w:r>
              <w:rPr>
                <w:rFonts w:hint="eastAsia"/>
              </w:rPr>
              <w:t xml:space="preserve">Token刷新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30分钟无操作自动退出，支持多地登录检测与下线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所有API接口需携带有效Token，无Token请求仅允许公开接口</w:t>
            </w:r>
          </w:p>
        </w:tc>
      </w:tr>
    </w:tbl>
    <w:bookmarkEnd w:id="16"/>
    <w:p>
      <w:pPr>
        <w:pStyle w:val="Heading3"/>
      </w:pPr>
      <w:r>
        <w:t xml:space="preserve">3.2 </w:t>
      </w:r>
      <w:r>
        <w:rPr>
          <w:rFonts w:hint="eastAsia"/>
        </w:rPr>
        <w:t xml:space="preserve">数据安全</w:t>
      </w:r>
    </w:p>
    <w:bookmarkEnd w:id="17"/>
    <w:p>
      <w:pPr>
        <w:pStyle w:val="Heading3"/>
      </w:pPr>
      <w:r>
        <w:t xml:space="preserve">3.3 </w:t>
      </w:r>
      <w:r>
        <w:rPr>
          <w:rFonts w:hint="eastAsia"/>
        </w:rPr>
        <w:t xml:space="preserve">攻击防护</w:t>
      </w:r>
    </w:p>
    <w:bookmarkEnd w:id="18"/>
    <w:p>
      <w:pPr>
        <w:pStyle w:val="Heading3"/>
      </w:pPr>
      <w:r>
        <w:t xml:space="preserve">3.4 </w:t>
      </w:r>
      <w:r>
        <w:rPr>
          <w:rFonts w:hint="eastAsia"/>
        </w:rPr>
        <w:t xml:space="preserve">隐私合规</w:t>
      </w:r>
    </w:p>
    <w:bookmarkEnd w:id="19"/>
    <w:p>
      <w:pPr>
        <w:pStyle w:val="Heading2"/>
      </w:pPr>
      <w:r>
        <w:t xml:space="preserve">4. </w:t>
      </w:r>
      <w:r>
        <w:rPr>
          <w:rFonts w:hint="eastAsia"/>
        </w:rPr>
        <w:t xml:space="preserve">可靠性需求</w:t>
      </w:r>
      <w:r>
        <w:t xml:space="preserve"> (Reliability Requirements)</w:t>
      </w:r>
    </w:p>
    <w:bookmarkEnd w:id="21"/>
    <w:p>
      <w:pPr>
        <w:pStyle w:val="Heading2"/>
      </w:pPr>
      <w:r>
        <w:t xml:space="preserve">5. </w:t>
      </w:r>
      <w:r>
        <w:rPr>
          <w:rFonts w:hint="eastAsia"/>
        </w:rPr>
        <w:t xml:space="preserve">可维护性需求</w:t>
      </w:r>
      <w:r>
        <w:t xml:space="preserve"> (Maintainability Requirements)</w:t>
      </w:r>
    </w:p>
    <w:bookmarkEnd w:id="22"/>
    <w:p>
      <w:pPr>
        <w:pStyle w:val="Heading2"/>
      </w:pPr>
      <w:r>
        <w:t xml:space="preserve">6. </w:t>
      </w:r>
      <w:r>
        <w:rPr>
          <w:rFonts w:hint="eastAsia"/>
        </w:rPr>
        <w:t xml:space="preserve">可扩展性需求</w:t>
      </w:r>
      <w:r>
        <w:t xml:space="preserve"> (Scalability Requirements)</w:t>
      </w:r>
    </w:p>
    <w:bookmarkEnd w:id="23"/>
    <w:p>
      <w:pPr>
        <w:pStyle w:val="Heading2"/>
      </w:pPr>
      <w:r>
        <w:t xml:space="preserve">7. </w:t>
      </w:r>
      <w:r>
        <w:rPr>
          <w:rFonts w:hint="eastAsia"/>
        </w:rPr>
        <w:t xml:space="preserve">兼容性需求</w:t>
      </w:r>
      <w:r>
        <w:t xml:space="preserve"> (Compatibility Requirements)</w:t>
      </w:r>
    </w:p>
    <w:bookmarkStart w:id="24" w:name="浏览器兼容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≥90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≥14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iOS设备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≥90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Windows用户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≥88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微信内置浏览器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小程序/公众号</w:t>
            </w:r>
          </w:p>
        </w:tc>
      </w:tr>
    </w:tbl>
    <w:bookmarkEnd w:id="24"/>
    <w:p>
      <w:pPr>
        <w:pStyle w:val="Heading3"/>
      </w:pPr>
      <w:r>
        <w:t xml:space="preserve">7.2 </w:t>
      </w:r>
      <w:r>
        <w:rPr>
          <w:rFonts w:hint="eastAsia"/>
        </w:rPr>
        <w:t xml:space="preserve">移动端兼容</w:t>
      </w:r>
    </w:p>
    <w:bookmarkEnd w:id="25"/>
    <w:p>
      <w:pPr>
        <w:pStyle w:val="Heading3"/>
      </w:pPr>
      <w:r>
        <w:t xml:space="preserve">7.3 </w:t>
      </w:r>
      <w:r>
        <w:rPr>
          <w:rFonts w:hint="eastAsia"/>
        </w:rPr>
        <w:t xml:space="preserve">外部系统兼容</w:t>
      </w:r>
    </w:p>
    <w:bookmarkEnd w:id="26"/>
    <w:p>
      <w:pPr>
        <w:pStyle w:val="Heading2"/>
      </w:pPr>
      <w:r>
        <w:t xml:space="preserve">8. </w:t>
      </w:r>
      <w:r>
        <w:rPr>
          <w:rFonts w:hint="eastAsia"/>
        </w:rPr>
        <w:t xml:space="preserve">可用性(易用性)需求</w:t>
      </w:r>
      <w:r>
        <w:t xml:space="preserve"> (Usability Requirements)</w:t>
      </w:r>
    </w:p>
    <w:bookmarkEnd w:id="28"/>
    <w:p>
      <w:pPr>
        <w:pStyle w:val="Heading2"/>
      </w:pPr>
      <w:r>
        <w:t xml:space="preserve">9. </w:t>
      </w:r>
      <w:r>
        <w:rPr>
          <w:rFonts w:hint="eastAsia"/>
        </w:rPr>
        <w:t xml:space="preserve">可测试性需求</w:t>
      </w:r>
      <w:r>
        <w:t xml:space="preserve"> (Testability Requirements)</w:t>
      </w:r>
    </w:p>
    <w:bookmarkEnd w:id="29"/>
    <w:p>
      <w:pPr>
        <w:pStyle w:val="Heading2"/>
      </w:pPr>
      <w:r>
        <w:t xml:space="preserve">10. </w:t>
      </w:r>
      <w:r>
        <w:rPr>
          <w:rFonts w:hint="eastAsia"/>
        </w:rPr>
        <w:t xml:space="preserve">部署与运维需求</w:t>
      </w:r>
      <w:r>
        <w:t xml:space="preserve"> (Deployment &amp; Operations)</w:t>
      </w:r>
    </w:p>
    <w:bookmarkStart w:id="30" w:name="部署环境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NFR-DEP-01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支持Docker容器化部署，使用K8s编排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NFR-DEP-02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(Ubuntu 22.04 LTS / CentOS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NFR-DEP-03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 + Elasticsearch 8.x + Redis 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NFR-DEP-04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JDK 17 / Python 3.10 / Node.js 18</w:t>
            </w:r>
          </w:p>
        </w:tc>
      </w:tr>
    </w:tbl>
    <w:bookmarkEnd w:id="30"/>
    <w:p>
      <w:pPr>
        <w:pStyle w:val="Heading3"/>
      </w:pPr>
      <w:r>
        <w:t xml:space="preserve">10.2 </w:t>
      </w:r>
      <w:r>
        <w:rPr>
          <w:rFonts w:hint="eastAsia"/>
        </w:rPr>
        <w:t xml:space="preserve">运维需求</w:t>
      </w:r>
    </w:p>
    <w:bookmarkEnd w:id="31"/>
    <w:p>
      <w:pPr>
        <w:pStyle w:val="Heading2"/>
      </w:pPr>
      <w:r>
        <w:t xml:space="preserve">11. </w:t>
      </w:r>
      <w:r>
        <w:rPr>
          <w:rFonts w:hint="eastAsia"/>
        </w:rPr>
        <w:t xml:space="preserve">法律与合规需求</w:t>
      </w:r>
    </w:p>
    <w:bookmarkEnd w:id="33"/>
    <w:p>
      <w:pPr>
        <w:pStyle w:val="Heading2"/>
      </w:pPr>
      <w:r>
        <w:t xml:space="preserve">12. </w:t>
      </w:r>
      <w:r>
        <w:rPr>
          <w:rFonts w:hint="eastAsia"/>
        </w:rPr>
        <w:t xml:space="preserve">非功能性需求总表</w:t>
      </w:r>
    </w:p>
    <w:bookmarkEnd w:id="34"/>
    <w:p>
      <w:pPr>
        <w:pStyle w:val="Heading2"/>
      </w:pPr>
      <w:r>
        <w:t xml:space="preserve">13. </w:t>
      </w:r>
      <w:r>
        <w:rPr>
          <w:rFonts w:hint="eastAsia"/>
        </w:rPr>
        <w:t xml:space="preserve">各用户群的非功能性需求分配</w:t>
      </w:r>
    </w:p>
    <w:bookmarkEnd w:id="35"/>
    <w:p>
      <w:pPr>
        <w:pStyle w:val="Heading1"/>
      </w:pPr>
      <w:r>
        <w:t>14. V1.1 SRS扩展同步补充</w:t>
      </w:r>
    </w:p>
    <w:p>
      <w:pPr>
        <w:pStyle w:val="Heading1"/>
      </w:pPr>
      <w:r>
        <w:t>15. V1.2 可测量性与运维补充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测试类型</w:t>
            </w:r>
          </w:p>
        </w:tc>
        <w:tc>
          <w:tcPr>
            <w:tcW w:type="dxa" w:w="3120"/>
          </w:tcPr>
          <w:p>
            <w:r>
              <w:t>覆盖内容</w:t>
            </w:r>
          </w:p>
        </w:tc>
        <w:tc>
          <w:tcPr>
            <w:tcW w:type="dxa" w:w="3120"/>
          </w:tcPr>
          <w:p>
            <w:r>
              <w:t>准入要求</w:t>
            </w:r>
          </w:p>
        </w:tc>
      </w:tr>
      <w:tr>
        <w:tc>
          <w:tcPr>
            <w:tcW w:type="dxa" w:w="3120"/>
          </w:tcPr>
          <w:p>
            <w:r>
              <w:t>压力测试</w:t>
            </w:r>
          </w:p>
        </w:tc>
        <w:tc>
          <w:tcPr>
            <w:tcW w:type="dxa" w:w="3120"/>
          </w:tcPr>
          <w:p>
            <w:r>
              <w:t>高峰并发、长稳、突发流量。</w:t>
            </w:r>
          </w:p>
        </w:tc>
        <w:tc>
          <w:tcPr>
            <w:tcW w:type="dxa" w:w="3120"/>
          </w:tcPr>
          <w:p>
            <w:r>
              <w:t>无P0/P1性能缺陷。</w:t>
            </w:r>
          </w:p>
        </w:tc>
      </w:tr>
      <w:tr>
        <w:tc>
          <w:tcPr>
            <w:tcW w:type="dxa" w:w="3120"/>
          </w:tcPr>
          <w:p>
            <w:r>
              <w:t>安全测试</w:t>
            </w:r>
          </w:p>
        </w:tc>
        <w:tc>
          <w:tcPr>
            <w:tcW w:type="dxa" w:w="3120"/>
          </w:tcPr>
          <w:p>
            <w:r>
              <w:t>认证、授权、注入、越权、敏感信息泄露。</w:t>
            </w:r>
          </w:p>
        </w:tc>
        <w:tc>
          <w:tcPr>
            <w:tcW w:type="dxa" w:w="3120"/>
          </w:tcPr>
          <w:p>
            <w:r>
              <w:t>高危漏洞关闭后方可上线。</w:t>
            </w:r>
          </w:p>
        </w:tc>
      </w:tr>
      <w:tr>
        <w:tc>
          <w:tcPr>
            <w:tcW w:type="dxa" w:w="3120"/>
          </w:tcPr>
          <w:p>
            <w:r>
              <w:t>容灾演练</w:t>
            </w:r>
          </w:p>
        </w:tc>
        <w:tc>
          <w:tcPr>
            <w:tcW w:type="dxa" w:w="3120"/>
          </w:tcPr>
          <w:p>
            <w:r>
              <w:t>服务重启、数据库备份恢复、缓存失效、外部接口超时。</w:t>
            </w:r>
          </w:p>
        </w:tc>
        <w:tc>
          <w:tcPr>
            <w:tcW w:type="dxa" w:w="3120"/>
          </w:tcPr>
          <w:p>
            <w:r>
              <w:t>满足RTO/RPO目标。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基线项</w:t>
            </w:r>
          </w:p>
        </w:tc>
        <w:tc>
          <w:tcPr>
            <w:tcW w:type="dxa" w:w="3120"/>
          </w:tcPr>
          <w:p>
            <w:r>
              <w:t>确认内容</w:t>
            </w:r>
          </w:p>
        </w:tc>
        <w:tc>
          <w:tcPr>
            <w:tcW w:type="dxa" w:w="3120"/>
          </w:tcPr>
          <w:p>
            <w:r>
              <w:t>变更控制</w:t>
            </w:r>
          </w:p>
        </w:tc>
      </w:tr>
      <w:tr>
        <w:tc>
          <w:tcPr>
            <w:tcW w:type="dxa" w:w="3120"/>
          </w:tcPr>
          <w:p>
            <w:r>
              <w:t>关键指标</w:t>
            </w:r>
          </w:p>
        </w:tc>
        <w:tc>
          <w:tcPr>
            <w:tcW w:type="dxa" w:w="3120"/>
          </w:tcPr>
          <w:p>
            <w:r>
              <w:t>响应时间、吞吐量、可用性、安全、可靠性、兼容性、可维护性和运维监控。</w:t>
            </w:r>
          </w:p>
        </w:tc>
        <w:tc>
          <w:tcPr>
            <w:tcW w:type="dxa" w:w="3120"/>
          </w:tcPr>
          <w:p>
            <w:r>
              <w:t>指标降低必须经项目负责人、业务代表和运维代表确认。</w:t>
            </w:r>
          </w:p>
        </w:tc>
      </w:tr>
      <w:tr>
        <w:tc>
          <w:tcPr>
            <w:tcW w:type="dxa" w:w="3120"/>
          </w:tcPr>
          <w:p>
            <w:r>
              <w:t>验收证据</w:t>
            </w:r>
          </w:p>
        </w:tc>
        <w:tc>
          <w:tcPr>
            <w:tcW w:type="dxa" w:w="3120"/>
          </w:tcPr>
          <w:p>
            <w:r>
              <w:t>压测、安全测试、兼容性测试、容灾演练、监控告警和缺陷闭环记录。</w:t>
            </w:r>
          </w:p>
        </w:tc>
        <w:tc>
          <w:tcPr>
            <w:tcW w:type="dxa" w:w="3120"/>
          </w:tcPr>
          <w:p>
            <w:r>
              <w:t>缺少关键证据不得视为通过验收。</w:t>
            </w:r>
          </w:p>
        </w:tc>
      </w:tr>
      <w:tr>
        <w:tc>
          <w:tcPr>
            <w:tcW w:type="dxa" w:w="3120"/>
          </w:tcPr>
          <w:p>
            <w:r>
              <w:t>运维交接</w:t>
            </w:r>
          </w:p>
        </w:tc>
        <w:tc>
          <w:tcPr>
            <w:tcW w:type="dxa" w:w="3120"/>
          </w:tcPr>
          <w:p>
            <w:r>
              <w:t>运行环境、部署方式、监控项、告警联系人、备份恢复和应急预案。</w:t>
            </w:r>
          </w:p>
        </w:tc>
        <w:tc>
          <w:tcPr>
            <w:tcW w:type="dxa" w:w="3120"/>
          </w:tcPr>
          <w:p>
            <w:r>
              <w:t>上线前完成交接签收。</w:t>
            </w:r>
          </w:p>
        </w:tc>
      </w:tr>
      <w:tr>
        <w:tc>
          <w:tcPr>
            <w:tcW w:type="dxa" w:w="3120"/>
          </w:tcPr>
          <w:p>
            <w:r>
              <w:t>后续维护</w:t>
            </w:r>
          </w:p>
        </w:tc>
        <w:tc>
          <w:tcPr>
            <w:tcW w:type="dxa" w:w="3120"/>
          </w:tcPr>
          <w:p>
            <w:r>
              <w:t>新增功能必须补充对应NFR影响评估。</w:t>
            </w:r>
          </w:p>
        </w:tc>
        <w:tc>
          <w:tcPr>
            <w:tcW w:type="dxa" w:w="3120"/>
          </w:tcPr>
          <w:p>
            <w:r>
              <w:t>维护版本保留修订记录。</w:t>
            </w:r>
          </w:p>
        </w:tc>
      </w:tr>
    </w:tbl>
    <w:p>
      <w:pPr>
        <w:pStyle w:val="Heading1"/>
      </w:pPr>
      <w:r>
        <w:t>16. V1.3 非功能需求基线确认</w:t>
      </w:r>
    </w:p>
    <w:p>
      <w:r>
        <w:t>V1.3作为非功能需求正式基线。设计、开发、测试、上线和运维交接均应以本版本指标为最低准入要求。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校务问答机器人 非功能性需求（NFR） V1.3</dc:title>
  <dc:creator/>
  <cp:keywords>V1.3; 校务问答机器人; SRS; DRD; NFR</cp:keywords>
  <dcterms:created xsi:type="dcterms:W3CDTF">2026-05-23T17:21:43Z</dcterms:created>
  <dcterms:modified xsi:type="dcterms:W3CDTF">2026-05-23T17:21:43Z</dcterms:modified>
  <dc:subject>非功能性需求</dc:subject>
  <dc:description>正式版本化文档，版本 V1.3。</dc:description>
  <cp:lastModifiedBy>需求分析团队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