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系统概要设计说明书(SSDD)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SSDD-SCHOOL-QA-001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V1.1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SRS对齐稿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2026-06-02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V1.3；项目范围说明；外部系统接口清单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数据库设计说明书(DBDD)；接口设计说明书(IDD)；详细设计说明书(DDD)；系统测试设计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系统概要设计说明书(SSDD).docx 对应 V1.1；独立版本文件用于版本审计。</w:t>
            </w:r>
          </w:p>
        </w:tc>
      </w:tr>
    </w:tbl>
    <w:p/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V1.1</w:t>
            </w:r>
          </w:p>
        </w:tc>
        <w:tc>
          <w:tcPr>
            <w:tcW w:type="dxa" w:w="2520"/>
            <w:vAlign w:val="center"/>
          </w:tcPr>
          <w:p>
            <w:r>
              <w:t>2026-06-02</w:t>
            </w:r>
          </w:p>
        </w:tc>
        <w:tc>
          <w:tcPr>
            <w:tcW w:type="dxa" w:w="2520"/>
            <w:vAlign w:val="center"/>
          </w:tcPr>
          <w:p>
            <w:r>
              <w:t>SRS对齐稿</w:t>
            </w:r>
          </w:p>
        </w:tc>
        <w:tc>
          <w:tcPr>
            <w:tcW w:type="dxa" w:w="2520"/>
            <w:vAlign w:val="center"/>
          </w:tcPr>
          <w:p>
            <w:r>
              <w:t>按SRS补齐角色、场景、非功能需求和外部系统边界</w:t>
            </w:r>
          </w:p>
        </w:tc>
      </w:tr>
    </w:tbl>
    <w:p/>
    <w:p>
      <w:pPr>
        <w:pStyle w:val="Heading1"/>
      </w:pPr>
      <w:r>
        <w:t>1. 架构概述</w:t>
      </w:r>
    </w:p>
    <w:p>
      <w:r>
        <w:t>系统采用前后端分离、网关统一入口、业务服务分层、NLU模型服务独立部署的架构。用户端与管理端通过REST/SSE/WebSocket访问网关；网关转发至Java业务服务；业务服务按需调用Python NLU服务、教务/OA/CAS外部系统和各类数据存储。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架构原则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5040"/>
            <w:vAlign w:val="center"/>
          </w:tcPr>
          <w:p>
            <w:r>
              <w:t>关注点分离</w:t>
            </w:r>
          </w:p>
        </w:tc>
        <w:tc>
          <w:tcPr>
            <w:tcW w:type="dxa" w:w="5040"/>
            <w:vAlign w:val="center"/>
          </w:tcPr>
          <w:p>
            <w:r>
              <w:t>前端、网关、业务服务、模型服务、数据存储分层清晰</w:t>
            </w:r>
          </w:p>
        </w:tc>
      </w:tr>
      <w:tr>
        <w:tc>
          <w:tcPr>
            <w:tcW w:type="dxa" w:w="5040"/>
            <w:vAlign w:val="center"/>
          </w:tcPr>
          <w:p>
            <w:r>
              <w:t>高内聚低耦合</w:t>
            </w:r>
          </w:p>
        </w:tc>
        <w:tc>
          <w:tcPr>
            <w:tcW w:type="dxa" w:w="5040"/>
            <w:vAlign w:val="center"/>
          </w:tcPr>
          <w:p>
            <w:r>
              <w:t>认证、对话、知识库、统计、外部代理按领域拆分</w:t>
            </w:r>
          </w:p>
        </w:tc>
      </w:tr>
      <w:tr>
        <w:tc>
          <w:tcPr>
            <w:tcW w:type="dxa" w:w="5040"/>
            <w:vAlign w:val="center"/>
          </w:tcPr>
          <w:p>
            <w:r>
              <w:t>无状态服务</w:t>
            </w:r>
          </w:p>
        </w:tc>
        <w:tc>
          <w:tcPr>
            <w:tcW w:type="dxa" w:w="5040"/>
            <w:vAlign w:val="center"/>
          </w:tcPr>
          <w:p>
            <w:r>
              <w:t>应用实例无状态，状态进入Redis/MySQL等共享存储</w:t>
            </w:r>
          </w:p>
        </w:tc>
      </w:tr>
      <w:tr>
        <w:tc>
          <w:tcPr>
            <w:tcW w:type="dxa" w:w="5040"/>
            <w:vAlign w:val="center"/>
          </w:tcPr>
          <w:p>
            <w:r>
              <w:t>故障隔离</w:t>
            </w:r>
          </w:p>
        </w:tc>
        <w:tc>
          <w:tcPr>
            <w:tcW w:type="dxa" w:w="5040"/>
            <w:vAlign w:val="center"/>
          </w:tcPr>
          <w:p>
            <w:r>
              <w:t>外部系统、NLU服务和检索组件均配置超时、熔断和降级</w:t>
            </w:r>
          </w:p>
        </w:tc>
      </w:tr>
      <w:tr>
        <w:tc>
          <w:tcPr>
            <w:tcW w:type="dxa" w:w="5040"/>
            <w:vAlign w:val="center"/>
          </w:tcPr>
          <w:p>
            <w:r>
              <w:t>安全内置</w:t>
            </w:r>
          </w:p>
        </w:tc>
        <w:tc>
          <w:tcPr>
            <w:tcW w:type="dxa" w:w="5040"/>
            <w:vAlign w:val="center"/>
          </w:tcPr>
          <w:p>
            <w:r>
              <w:t>认证、授权、审计、脱敏、敏感词检测进入主流程</w:t>
            </w:r>
          </w:p>
        </w:tc>
      </w:tr>
    </w:tbl>
    <w:p/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2. 逻辑架构</w:t>
      </w:r>
    </w:p>
    <w:p>
      <w:r>
        <w:rPr>
          <w:rFonts w:ascii="Consolas" w:hAnsi="Consolas" w:eastAsia="Consolas"/>
          <w:sz w:val="18"/>
        </w:rPr>
        <w:t>用户端/管理端 -&gt; Spring Cloud Gateway -&gt; Java业务服务(认证/用户/对话/知识库/管理/统计) -&gt; MySQL/Redis/ES/Milvus/MinIO</w:t>
        <w:br/>
        <w:t xml:space="preserve">                                      |-&gt; Python FastAPI NLU服务</w:t>
        <w:br/>
        <w:t xml:space="preserve">                                      |-&gt; CAS/教务/OA外部系统</w:t>
      </w:r>
    </w:p>
    <w:p>
      <w:pPr>
        <w:pStyle w:val="Heading1"/>
      </w:pPr>
      <w:r>
        <w:t>3. 核心模块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主要协作</w:t>
            </w:r>
          </w:p>
        </w:tc>
      </w:tr>
      <w:tr>
        <w:tc>
          <w:tcPr>
            <w:tcW w:type="dxa" w:w="3360"/>
            <w:vAlign w:val="center"/>
          </w:tcPr>
          <w:p>
            <w:r>
              <w:t>认证与用户</w:t>
            </w:r>
          </w:p>
        </w:tc>
        <w:tc>
          <w:tcPr>
            <w:tcW w:type="dxa" w:w="3360"/>
            <w:vAlign w:val="center"/>
          </w:tcPr>
          <w:p>
            <w:r>
              <w:t>CAS/OAuth2登录、JWT、角色与家长授权</w:t>
            </w:r>
          </w:p>
        </w:tc>
        <w:tc>
          <w:tcPr>
            <w:tcW w:type="dxa" w:w="3360"/>
            <w:vAlign w:val="center"/>
          </w:tcPr>
          <w:p>
            <w:r>
              <w:t>users、students、teachers、parents、audit_logs</w:t>
            </w:r>
          </w:p>
        </w:tc>
      </w:tr>
      <w:tr>
        <w:tc>
          <w:tcPr>
            <w:tcW w:type="dxa" w:w="3360"/>
            <w:vAlign w:val="center"/>
          </w:tcPr>
          <w:p>
            <w:r>
              <w:t>对话管理</w:t>
            </w:r>
          </w:p>
        </w:tc>
        <w:tc>
          <w:tcPr>
            <w:tcW w:type="dxa" w:w="3360"/>
            <w:vAlign w:val="center"/>
          </w:tcPr>
          <w:p>
            <w:r>
              <w:t>会话、消息、上下文、流式响应编排</w:t>
            </w:r>
          </w:p>
        </w:tc>
        <w:tc>
          <w:tcPr>
            <w:tcW w:type="dxa" w:w="3360"/>
            <w:vAlign w:val="center"/>
          </w:tcPr>
          <w:p>
            <w:r>
              <w:t>conversations、messages、Redis context、NluClient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NLU问答引擎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意图识别、实体抽取、Embedding、置信度输出</w:t>
            </w:r>
          </w:p>
        </w:tc>
        <w:tc>
          <w:tcPr>
            <w:tcW w:type="dxa" w:w="3360"/>
            <w:vAlign w:val="center"/>
          </w:tcPr>
          <w:p>
            <w:r>
              <w:t>FastAPI、PyTorch、Milvus</w:t>
            </w:r>
          </w:p>
        </w:tc>
      </w:tr>
      <w:tr>
        <w:tc>
          <w:tcPr>
            <w:tcW w:type="dxa" w:w="3360"/>
            <w:vAlign w:val="center"/>
          </w:tcPr>
          <w:p>
            <w:r>
              <w:t>知识检索</w:t>
            </w:r>
          </w:p>
        </w:tc>
        <w:tc>
          <w:tcPr>
            <w:tcW w:type="dxa" w:w="3360"/>
            <w:vAlign w:val="center"/>
          </w:tcPr>
          <w:p>
            <w:r>
              <w:t>ES BM25与Milvus向量融合排序，知识条目版本化</w:t>
            </w:r>
          </w:p>
        </w:tc>
        <w:tc>
          <w:tcPr>
            <w:tcW w:type="dxa" w:w="3360"/>
            <w:vAlign w:val="center"/>
          </w:tcPr>
          <w:p>
            <w:r>
              <w:t>knowledge_entries、entry_versions、ES、Milvus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外部系统代理</w:t>
            </w:r>
          </w:p>
        </w:tc>
        <w:tc>
          <w:tcPr>
            <w:tcW w:type="dxa" w:w="3360"/>
            <w:vAlign w:val="center"/>
          </w:tcPr>
          <w:p>
            <w:r>
              <w:t>课程、考试、成绩、办事流程等外部查询</w:t>
            </w:r>
          </w:p>
        </w:tc>
        <w:tc>
          <w:tcPr>
            <w:tcW w:type="dxa" w:w="3360"/>
            <w:vAlign w:val="center"/>
          </w:tcPr>
          <w:p>
            <w:r>
              <w:t>教务/OA/CAS API、Redis缓存、external_query_logs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管理后台</w:t>
            </w:r>
          </w:p>
        </w:tc>
        <w:tc>
          <w:tcPr>
            <w:tcW w:type="dxa" w:w="3360"/>
            <w:vAlign w:val="center"/>
          </w:tcPr>
          <w:p>
            <w:r>
              <w:t>知识库、分类、未命中、敏感词、统计、配置</w:t>
            </w:r>
          </w:p>
        </w:tc>
        <w:tc>
          <w:tcPr>
            <w:tcW w:type="dxa" w:w="3360"/>
            <w:vAlign w:val="center"/>
          </w:tcPr>
          <w:p>
            <w:r>
              <w:t>admin REST、React管理端</w:t>
            </w:r>
          </w:p>
        </w:tc>
      </w:tr>
    </w:tbl>
    <w:p/>
    <w:p>
      <w:pPr>
        <w:pStyle w:val="Heading1"/>
      </w:pPr>
      <w:r>
        <w:t>4. SRS对齐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SRS能力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概要设计响应</w:t>
            </w:r>
          </w:p>
        </w:tc>
      </w:tr>
      <w:tr>
        <w:tc>
          <w:tcPr>
            <w:tcW w:type="dxa" w:w="5040"/>
            <w:vAlign w:val="center"/>
          </w:tcPr>
          <w:p>
            <w:r>
              <w:t>多角色访问</w:t>
            </w:r>
          </w:p>
        </w:tc>
        <w:tc>
          <w:tcPr>
            <w:tcW w:type="dxa" w:w="5040"/>
            <w:vAlign w:val="center"/>
          </w:tcPr>
          <w:p>
            <w:r>
              <w:t>学生、教师、辅导员、家长、管理员均通过统一用户模型和RBAC进入系统</w:t>
            </w:r>
          </w:p>
        </w:tc>
      </w:tr>
      <w:tr>
        <w:tc>
          <w:tcPr>
            <w:tcW w:type="dxa" w:w="5040"/>
            <w:vAlign w:val="center"/>
          </w:tcPr>
          <w:p>
            <w:r>
              <w:t>校务问答</w:t>
            </w:r>
          </w:p>
        </w:tc>
        <w:tc>
          <w:tcPr>
            <w:tcW w:type="dxa" w:w="5040"/>
            <w:vAlign w:val="center"/>
          </w:tcPr>
          <w:p>
            <w:r>
              <w:t>对话管理服务编排NLU、知识检索和外部代理，支持非流式与SSE流式回答</w:t>
            </w:r>
          </w:p>
        </w:tc>
      </w:tr>
      <w:tr>
        <w:tc>
          <w:tcPr>
            <w:tcW w:type="dxa" w:w="5040"/>
            <w:vAlign w:val="center"/>
          </w:tcPr>
          <w:p>
            <w:r>
              <w:t>知识库维护</w:t>
            </w:r>
          </w:p>
        </w:tc>
        <w:tc>
          <w:tcPr>
            <w:tcW w:type="dxa" w:w="5040"/>
            <w:vAlign w:val="center"/>
          </w:tcPr>
          <w:p>
            <w:r>
              <w:t>管理端支持分类、条目、版本、附件、批量导入导出和未命中闭环</w:t>
            </w:r>
          </w:p>
        </w:tc>
      </w:tr>
      <w:tr>
        <w:tc>
          <w:tcPr>
            <w:tcW w:type="dxa" w:w="5040"/>
            <w:vAlign w:val="center"/>
          </w:tcPr>
          <w:p>
            <w:r>
              <w:t>质量属性</w:t>
            </w:r>
          </w:p>
        </w:tc>
        <w:tc>
          <w:tcPr>
            <w:tcW w:type="dxa" w:w="5040"/>
            <w:vAlign w:val="center"/>
          </w:tcPr>
          <w:p>
            <w:r>
              <w:t>高峰期通过K8s HPA扩展；外部系统失败时降级；关键查询写审计日志</w:t>
            </w:r>
          </w:p>
        </w:tc>
      </w:tr>
    </w:tbl>
    <w:p/>
    <w:p>
      <w:pPr>
        <w:pStyle w:val="Heading1"/>
      </w:pPr>
      <w:r>
        <w:t>5. 关键流程</w:t>
      </w:r>
    </w:p>
    <w:p>
      <w:r>
        <w:rPr>
          <w:rFonts w:ascii="Consolas" w:hAnsi="Consolas" w:eastAsia="Consolas"/>
          <w:sz w:val="18"/>
        </w:rPr>
        <w:t>课程查询: 用户消息 -&gt; NLU识别COURSE_QUERY/date -&gt; 鉴权与授权 -&gt; Redis缓存查询 -&gt; 教务API -&gt; 结果脱敏/格式化 -&gt; messages与external_query_logs落库 -&gt; 返回</w:t>
        <w:br/>
        <w:t>知识问答: 用户消息 -&gt; NLU识别PROCEDURE_QUERY -&gt; ES全文检索 + Milvus语义检索 -&gt; 融合排序 -&gt; MySQL读取条目正文 -&gt; 返回并更新统计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