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系统上下文图说明</w:t>
      </w:r>
    </w:p>
    <w:p>
      <w:pPr>
        <w:pStyle w:val="Subtitle"/>
      </w:pPr>
      <w:r>
        <w:t>校务问答机器人 / 智慧校园助手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SRA2026-CD-V1.3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V1.3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基线版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2026-05-10</w:t>
            </w:r>
          </w:p>
        </w:tc>
      </w:tr>
      <w:tr>
        <w:tc>
          <w:tcPr>
            <w:tcW w:type="dxa" w:w="4320"/>
          </w:tcPr>
          <w:p>
            <w:r>
              <w:t>项目组</w:t>
            </w:r>
          </w:p>
        </w:tc>
        <w:tc>
          <w:tcPr>
            <w:tcW w:type="dxa" w:w="4320"/>
          </w:tcPr>
          <w:p>
            <w:r>
              <w:t>SRA2026-G10</w:t>
            </w:r>
          </w:p>
        </w:tc>
      </w:tr>
      <w:tr>
        <w:tc>
          <w:tcPr>
            <w:tcW w:type="dxa" w:w="4320"/>
          </w:tcPr>
          <w:p>
            <w:r>
              <w:t>适用基线</w:t>
            </w:r>
          </w:p>
        </w:tc>
        <w:tc>
          <w:tcPr>
            <w:tcW w:type="dxa" w:w="4320"/>
          </w:tcPr>
          <w:p>
            <w:r>
              <w:t>SRS-BASELINE-V1.0</w:t>
            </w:r>
          </w:p>
        </w:tc>
      </w:tr>
      <w:tr>
        <w:tc>
          <w:tcPr>
            <w:tcW w:type="dxa" w:w="4320"/>
          </w:tcPr>
          <w:p>
            <w:r>
              <w:t>统一口径</w:t>
            </w:r>
          </w:p>
        </w:tc>
        <w:tc>
          <w:tcPr>
            <w:tcW w:type="dxa" w:w="4320"/>
          </w:tcPr>
          <w:p>
            <w:r>
              <w:t>40条需求、47个用例、78条测试用例、16项变更</w:t>
            </w:r>
          </w:p>
        </w:tc>
      </w:tr>
      <w:tr>
        <w:tc>
          <w:tcPr>
            <w:tcW w:type="dxa" w:w="4320"/>
          </w:tcPr>
          <w:p>
            <w:r>
              <w:t>适用范围</w:t>
            </w:r>
          </w:p>
        </w:tc>
        <w:tc>
          <w:tcPr>
            <w:tcW w:type="dxa" w:w="4320"/>
          </w:tcPr>
          <w:p>
            <w:r>
              <w:t>上下文图版本链</w:t>
            </w:r>
          </w:p>
        </w:tc>
      </w:tr>
    </w:tbl>
    <w:p>
      <w:pPr>
        <w:pStyle w:val="Heading1"/>
      </w:pPr>
      <w:r>
        <w:t>版本修订记录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修订说明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2026-04-21</w:t>
            </w:r>
          </w:p>
        </w:tc>
        <w:tc>
          <w:tcPr>
            <w:tcW w:type="dxa" w:w="2880"/>
          </w:tcPr>
          <w:p>
            <w:r>
              <w:t>历史基线，明确课程项目初始愿景和范围。</w:t>
            </w:r>
          </w:p>
        </w:tc>
      </w:tr>
      <w:tr>
        <w:tc>
          <w:tcPr>
            <w:tcW w:type="dxa" w:w="2880"/>
          </w:tcPr>
          <w:p>
            <w:r>
              <w:t>V1.1</w:t>
            </w:r>
          </w:p>
        </w:tc>
        <w:tc>
          <w:tcPr>
            <w:tcW w:type="dxa" w:w="2880"/>
          </w:tcPr>
          <w:p>
            <w:r>
              <w:t>2026-04-28</w:t>
            </w:r>
          </w:p>
        </w:tc>
        <w:tc>
          <w:tcPr>
            <w:tcW w:type="dxa" w:w="2880"/>
          </w:tcPr>
          <w:p>
            <w:r>
              <w:t>补充痛点、干系人、业务价值和 MVP 范围。</w:t>
            </w:r>
          </w:p>
        </w:tc>
      </w:tr>
      <w:tr>
        <w:tc>
          <w:tcPr>
            <w:tcW w:type="dxa" w:w="2880"/>
          </w:tcPr>
          <w:p>
            <w:r>
              <w:t>V1.2</w:t>
            </w:r>
          </w:p>
        </w:tc>
        <w:tc>
          <w:tcPr>
            <w:tcW w:type="dxa" w:w="2880"/>
          </w:tcPr>
          <w:p>
            <w:r>
              <w:t>2026-05-04</w:t>
            </w:r>
          </w:p>
        </w:tc>
        <w:tc>
          <w:tcPr>
            <w:tcW w:type="dxa" w:w="2880"/>
          </w:tcPr>
          <w:p>
            <w:r>
              <w:t>补充 MoSCoW、KPI、风险、约束和预算口径。</w:t>
            </w:r>
          </w:p>
        </w:tc>
      </w:tr>
      <w:tr>
        <w:tc>
          <w:tcPr>
            <w:tcW w:type="dxa" w:w="2880"/>
          </w:tcPr>
          <w:p>
            <w:r>
              <w:t>V1.3</w:t>
            </w:r>
          </w:p>
        </w:tc>
        <w:tc>
          <w:tcPr>
            <w:tcW w:type="dxa" w:w="2880"/>
          </w:tcPr>
          <w:p>
            <w:r>
              <w:t>2026-05-10</w:t>
            </w:r>
          </w:p>
        </w:tc>
        <w:tc>
          <w:tcPr>
            <w:tcW w:type="dxa" w:w="2880"/>
          </w:tcPr>
          <w:p>
            <w:r>
              <w:t>对齐系统上下文图、外部接口和安全边界，形成定稿。</w:t>
            </w:r>
          </w:p>
        </w:tc>
      </w:tr>
    </w:tbl>
    <w:p>
      <w:pPr>
        <w:pStyle w:val="Heading1"/>
      </w:pPr>
      <w:r>
        <w:t>图示说明</w:t>
      </w:r>
    </w:p>
    <w:p>
      <w:r>
        <w:t>系统级上下文图说明外部参与者、外部校务信息来源、知识库和问答服务之间的关系。</w:t>
      </w:r>
    </w:p>
    <w:p>
      <w:r>
        <w:t>DFD Level 0 说明用户提问、知识检索、答案返回、反馈记录和管理员维护的数据流。</w:t>
      </w:r>
    </w:p>
    <w:p>
      <w:r>
        <w:t>内部微服务、部署图和安全边界属于架构补充，不作为系统边界本身。</w:t>
      </w:r>
    </w:p>
    <w:p>
      <w:pPr>
        <w:pStyle w:val="Heading1"/>
      </w:pPr>
      <w:r>
        <w:t>边界排除</w:t>
      </w:r>
    </w:p>
    <w:p>
      <w:r>
        <w:t>不接入真实门禁、一卡通或核心校务系统写入接口。</w:t>
      </w:r>
    </w:p>
    <w:p>
      <w:r>
        <w:t>不承诺生产 K8s、高可用和 7x24 运维，只说明后续可扩展方向。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