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非功能性需求文档-校务问答机器人"/>
    <w:p>
      <w:pPr>
        <w:pStyle w:val="Heading1"/>
      </w:pPr>
      <w:r>
        <w:rPr>
          <w:rFonts w:hint="eastAsia"/>
        </w:rPr>
        <w:t xml:space="preserve">非功能性需求文档</w:t>
      </w:r>
      <w:r>
        <w:t xml:space="preserve"> — </w:t>
      </w:r>
      <w:r>
        <w:rPr>
          <w:rFonts w:hint="eastAsia"/>
        </w:rPr>
        <w:t xml:space="preserve">校务问答机器人</w:t>
      </w:r>
    </w:p>
    <w:p>
      <w:pPr>
        <w:pStyle w:val="Heading1"/>
      </w:pPr>
      <w:r>
        <w:rPr>
          <w:b/>
        </w:rPr>
        <w:t>文档版本信息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t>字段</w:t>
            </w:r>
          </w:p>
        </w:tc>
        <w:tc>
          <w:tcPr>
            <w:tcW w:type="dxa" w:w="4680"/>
          </w:tcPr>
          <w:p>
            <w:r>
              <w:t>内容</w:t>
            </w:r>
          </w:p>
        </w:tc>
      </w:tr>
      <w:tr>
        <w:tc>
          <w:tcPr>
            <w:tcW w:type="dxa" w:w="4680"/>
          </w:tcPr>
          <w:p>
            <w:r>
              <w:t>文档名称</w:t>
            </w:r>
          </w:p>
        </w:tc>
        <w:tc>
          <w:tcPr>
            <w:tcW w:type="dxa" w:w="4680"/>
          </w:tcPr>
          <w:p>
            <w:r>
              <w:t>校务问答机器人 非功能性需求（NFR）</w:t>
            </w:r>
          </w:p>
        </w:tc>
      </w:tr>
      <w:tr>
        <w:tc>
          <w:tcPr>
            <w:tcW w:type="dxa" w:w="4680"/>
          </w:tcPr>
          <w:p>
            <w:r>
              <w:t>文档编号</w:t>
            </w:r>
          </w:p>
        </w:tc>
        <w:tc>
          <w:tcPr>
            <w:tcW w:type="dxa" w:w="4680"/>
          </w:tcPr>
          <w:p>
            <w:r>
              <w:t>NFR-SCHOOL-QA-001</w:t>
            </w:r>
          </w:p>
        </w:tc>
      </w:tr>
      <w:tr>
        <w:tc>
          <w:tcPr>
            <w:tcW w:type="dxa" w:w="4680"/>
          </w:tcPr>
          <w:p>
            <w:r>
              <w:t>文档类型</w:t>
            </w:r>
          </w:p>
        </w:tc>
        <w:tc>
          <w:tcPr>
            <w:tcW w:type="dxa" w:w="4680"/>
          </w:tcPr>
          <w:p>
            <w:r>
              <w:t>非功能性需求 NFR</w:t>
            </w:r>
          </w:p>
        </w:tc>
      </w:tr>
      <w:tr>
        <w:tc>
          <w:tcPr>
            <w:tcW w:type="dxa" w:w="4680"/>
          </w:tcPr>
          <w:p>
            <w:r>
              <w:t>当前版本</w:t>
            </w:r>
          </w:p>
        </w:tc>
        <w:tc>
          <w:tcPr>
            <w:tcW w:type="dxa" w:w="4680"/>
          </w:tcPr>
          <w:p>
            <w:r>
              <w:t>V1.3</w:t>
            </w:r>
          </w:p>
        </w:tc>
      </w:tr>
      <w:tr>
        <w:tc>
          <w:tcPr>
            <w:tcW w:type="dxa" w:w="4680"/>
          </w:tcPr>
          <w:p>
            <w:r>
              <w:t>版本状态</w:t>
            </w:r>
          </w:p>
        </w:tc>
        <w:tc>
          <w:tcPr>
            <w:tcW w:type="dxa" w:w="4680"/>
          </w:tcPr>
          <w:p>
            <w:r>
              <w:t>正式基线</w:t>
            </w:r>
          </w:p>
        </w:tc>
      </w:tr>
      <w:tr>
        <w:tc>
          <w:tcPr>
            <w:tcW w:type="dxa" w:w="4680"/>
          </w:tcPr>
          <w:p>
            <w:r>
              <w:t>最后更新</w:t>
            </w:r>
          </w:p>
        </w:tc>
        <w:tc>
          <w:tcPr>
            <w:tcW w:type="dxa" w:w="4680"/>
          </w:tcPr>
          <w:p>
            <w:r>
              <w:t>2026-06-19</w:t>
            </w:r>
          </w:p>
        </w:tc>
      </w:tr>
      <w:tr>
        <w:tc>
          <w:tcPr>
            <w:tcW w:type="dxa" w:w="4680"/>
          </w:tcPr>
          <w:p>
            <w:r>
              <w:t>版本来源/说明</w:t>
            </w:r>
          </w:p>
        </w:tc>
        <w:tc>
          <w:tcPr>
            <w:tcW w:type="dxa" w:w="4680"/>
          </w:tcPr>
          <w:p>
            <w:r>
              <w:t>由原文件“非功能性需求(NFR).docx”整理；源稿补充为V1.0文档头，版本副本补充修订记录和递进章节。</w:t>
            </w:r>
          </w:p>
        </w:tc>
      </w:tr>
    </w:tbl>
    <w:p>
      <w:pPr>
        <w:pStyle w:val="Heading2"/>
      </w:pPr>
      <w:r>
        <w:rPr>
          <w:b/>
        </w:rPr>
        <w:t>修订记录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版本</w:t>
            </w:r>
          </w:p>
        </w:tc>
        <w:tc>
          <w:tcPr>
            <w:tcW w:type="dxa" w:w="2340"/>
          </w:tcPr>
          <w:p>
            <w:r>
              <w:t>日期</w:t>
            </w:r>
          </w:p>
        </w:tc>
        <w:tc>
          <w:tcPr>
            <w:tcW w:type="dxa" w:w="2340"/>
          </w:tcPr>
          <w:p>
            <w:r>
              <w:t>修订说明</w:t>
            </w:r>
          </w:p>
        </w:tc>
        <w:tc>
          <w:tcPr>
            <w:tcW w:type="dxa" w:w="2340"/>
          </w:tcPr>
          <w:p>
            <w:r>
              <w:t>修订人</w:t>
            </w:r>
          </w:p>
        </w:tc>
      </w:tr>
      <w:tr>
        <w:tc>
          <w:tcPr>
            <w:tcW w:type="dxa" w:w="2340"/>
          </w:tcPr>
          <w:p>
            <w:r>
              <w:t>V1.0</w:t>
            </w:r>
          </w:p>
        </w:tc>
        <w:tc>
          <w:tcPr>
            <w:tcW w:type="dxa" w:w="2340"/>
          </w:tcPr>
          <w:p>
            <w:r>
              <w:t>2026-05-23</w:t>
            </w:r>
          </w:p>
        </w:tc>
        <w:tc>
          <w:tcPr>
            <w:tcW w:type="dxa" w:w="2340"/>
          </w:tcPr>
          <w:p>
            <w:r>
              <w:t>建立非功能需求初稿，定义性能、可用性、安全、可靠性、维护性、兼容性和运维指标。</w:t>
            </w:r>
          </w:p>
        </w:tc>
        <w:tc>
          <w:tcPr>
            <w:tcW w:type="dxa" w:w="2340"/>
          </w:tcPr>
          <w:p>
            <w:r>
              <w:t>需求分析团队</w:t>
            </w:r>
          </w:p>
        </w:tc>
      </w:tr>
      <w:tr>
        <w:tc>
          <w:tcPr>
            <w:tcW w:type="dxa" w:w="2340"/>
          </w:tcPr>
          <w:p>
            <w:r>
              <w:t>V1.1</w:t>
            </w:r>
          </w:p>
        </w:tc>
        <w:tc>
          <w:tcPr>
            <w:tcW w:type="dxa" w:w="2340"/>
          </w:tcPr>
          <w:p>
            <w:r>
              <w:t>2026-05-30</w:t>
            </w:r>
          </w:p>
        </w:tc>
        <w:tc>
          <w:tcPr>
            <w:tcW w:type="dxa" w:w="2340"/>
          </w:tcPr>
          <w:p>
            <w:r>
              <w:t>同步SRS V1.1扩展后的用户群和功能范围，补充性能、安全、容量和多端兼容验收方法。</w:t>
            </w:r>
          </w:p>
        </w:tc>
        <w:tc>
          <w:tcPr>
            <w:tcW w:type="dxa" w:w="2340"/>
          </w:tcPr>
          <w:p>
            <w:r>
              <w:t>需求分析团队</w:t>
            </w:r>
          </w:p>
        </w:tc>
      </w:tr>
      <w:tr>
        <w:tc>
          <w:tcPr>
            <w:tcW w:type="dxa" w:w="2340"/>
          </w:tcPr>
          <w:p>
            <w:r>
              <w:t>V1.2</w:t>
            </w:r>
          </w:p>
        </w:tc>
        <w:tc>
          <w:tcPr>
            <w:tcW w:type="dxa" w:w="2340"/>
          </w:tcPr>
          <w:p>
            <w:r>
              <w:t>2026-06-12</w:t>
            </w:r>
          </w:p>
        </w:tc>
        <w:tc>
          <w:tcPr>
            <w:tcW w:type="dxa" w:w="2340"/>
          </w:tcPr>
          <w:p>
            <w:r>
              <w:t>补充可测量SLO、监控告警、压测、安全测试、容灾演练和缺陷分级处理口径。</w:t>
            </w:r>
          </w:p>
        </w:tc>
        <w:tc>
          <w:tcPr>
            <w:tcW w:type="dxa" w:w="2340"/>
          </w:tcPr>
          <w:p>
            <w:r>
              <w:t>需求分析团队</w:t>
            </w:r>
          </w:p>
        </w:tc>
      </w:tr>
      <w:tr>
        <w:tc>
          <w:tcPr>
            <w:tcW w:type="dxa" w:w="2340"/>
          </w:tcPr>
          <w:p>
            <w:r>
              <w:t>V1.3</w:t>
            </w:r>
          </w:p>
        </w:tc>
        <w:tc>
          <w:tcPr>
            <w:tcW w:type="dxa" w:w="2340"/>
          </w:tcPr>
          <w:p>
            <w:r>
              <w:t>2026-06-19</w:t>
            </w:r>
          </w:p>
        </w:tc>
        <w:tc>
          <w:tcPr>
            <w:tcW w:type="dxa" w:w="2340"/>
          </w:tcPr>
          <w:p>
            <w:r>
              <w:t>形成非功能需求正式基线，固化指标优先级、验收准入、运维交接和变更控制要求。</w:t>
            </w:r>
          </w:p>
        </w:tc>
        <w:tc>
          <w:tcPr>
            <w:tcW w:type="dxa" w:w="2340"/>
          </w:tcPr>
          <w:p>
            <w:r>
              <w:t>需求分析团队</w:t>
            </w:r>
          </w:p>
        </w:tc>
      </w:tr>
    </w:tbl>
    <w:bookmarkStart w:id="12" w:name="性能需求-performance-requirements"/>
    <w:p>
      <w:pPr>
        <w:pStyle w:val="Heading2"/>
      </w:pPr>
      <w:r>
        <w:t xml:space="preserve">1. </w:t>
      </w:r>
      <w:r>
        <w:rPr>
          <w:rFonts w:hint="eastAsia"/>
        </w:rPr>
        <w:t xml:space="preserve">性能需求</w:t>
      </w:r>
      <w:r>
        <w:t xml:space="preserve"> (Performance Requirements)</w:t>
      </w:r>
    </w:p>
    <w:bookmarkStart w:id="9" w:name="响应时间"/>
    <w:p>
      <w:pPr>
        <w:pStyle w:val="Heading3"/>
      </w:pPr>
      <w:r>
        <w:t xml:space="preserve">1.1 </w:t>
      </w:r>
      <w:r>
        <w:rPr>
          <w:rFonts w:hint="eastAsia"/>
        </w:rPr>
        <w:t xml:space="preserve">响应时间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测量方法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NFR-PERF-01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文本回复（知识库命中）</w:t>
            </w:r>
          </w:p>
        </w:tc>
        <w:tc>
          <w:tcPr/>
          <w:p>
            <w:pPr>
              <w:pStyle w:val="Compact"/>
            </w:pPr>
            <w:r>
              <w:t xml:space="preserve">P95 ≤ </w:t>
            </w: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从用户发送消息到界面展示回复的时间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NFR-PERF-02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数据查询回复（含外部API调用）</w:t>
            </w:r>
          </w:p>
        </w:tc>
        <w:tc>
          <w:tcPr/>
          <w:p>
            <w:pPr>
              <w:pStyle w:val="Compact"/>
            </w:pPr>
            <w:r>
              <w:t xml:space="preserve">P95 ≤ </w:t>
            </w: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含教务系统/OA系统API调用耗时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NFR-PERF-03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NLU意图识别</w:t>
            </w:r>
          </w:p>
        </w:tc>
        <w:tc>
          <w:tcPr/>
          <w:p>
            <w:pPr>
              <w:pStyle w:val="Compact"/>
            </w:pPr>
            <w:r>
              <w:t xml:space="preserve">P95 ≤ 500ms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NLP模型推理时间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NFR-PERF-04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知识库检索</w:t>
            </w:r>
          </w:p>
        </w:tc>
        <w:tc>
          <w:tcPr/>
          <w:p>
            <w:pPr>
              <w:pStyle w:val="Compact"/>
            </w:pPr>
            <w:r>
              <w:t xml:space="preserve">P95 ≤ 200ms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ES/向量数据库检索时间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NFR-PERF-05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管理后台页面加载</w:t>
            </w:r>
          </w:p>
        </w:tc>
        <w:tc>
          <w:tcPr/>
          <w:p>
            <w:pPr>
              <w:pStyle w:val="Compact"/>
            </w:pPr>
            <w:r>
              <w:t xml:space="preserve">P95 ≤ </w:t>
            </w: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首屏渲染完成时间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NFR-PERF-06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管理后台数据统计图表</w:t>
            </w:r>
          </w:p>
        </w:tc>
        <w:tc>
          <w:tcPr/>
          <w:p>
            <w:pPr>
              <w:pStyle w:val="Compact"/>
            </w:pPr>
            <w:r>
              <w:t xml:space="preserve">P95 ≤ </w:t>
            </w: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含聚合查询+图表渲染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NFR-PERF-07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并发处理能力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支持≥500</w:t>
            </w:r>
            <w:r>
              <w:t xml:space="preserve"> QPS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使用JMeter压力测试</w:t>
            </w:r>
          </w:p>
        </w:tc>
      </w:tr>
    </w:tbl>
    <w:bookmarkEnd w:id="9"/>
    <w:bookmarkStart w:id="10" w:name="吞吐量"/>
    <w:p>
      <w:pPr>
        <w:pStyle w:val="Heading3"/>
      </w:pPr>
      <w:r>
        <w:t xml:space="preserve">1.2 </w:t>
      </w:r>
      <w:r>
        <w:rPr>
          <w:rFonts w:hint="eastAsia"/>
        </w:rPr>
        <w:t xml:space="preserve">吞吐量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NFR-PERF-08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峰值并发用户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≥2000（考试周、选课期间峰值）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NFR-PERF-09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日活用户承载</w:t>
            </w:r>
          </w:p>
        </w:tc>
        <w:tc>
          <w:tcPr/>
          <w:p>
            <w:pPr>
              <w:pStyle w:val="Compact"/>
            </w:pPr>
            <w:r>
              <w:t xml:space="preserve">≥15,000 DAU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NFR-PERF-10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日消息量处理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≥100,000条/天</w:t>
            </w:r>
          </w:p>
        </w:tc>
      </w:tr>
    </w:tbl>
    <w:bookmarkEnd w:id="10"/>
    <w:bookmarkStart w:id="11" w:name="资源消耗"/>
    <w:p>
      <w:pPr>
        <w:pStyle w:val="Heading3"/>
      </w:pPr>
      <w:r>
        <w:t xml:space="preserve">1.3 </w:t>
      </w:r>
      <w:r>
        <w:rPr>
          <w:rFonts w:hint="eastAsia"/>
        </w:rPr>
        <w:t xml:space="preserve">资源消耗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NFR-PERF-11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单实例CPU使用率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常态≤60%，峰值≤80%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NFR-PERF-12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单实例内存使用</w:t>
            </w:r>
          </w:p>
        </w:tc>
        <w:tc>
          <w:tcPr/>
          <w:p>
            <w:pPr>
              <w:pStyle w:val="Compact"/>
            </w:pPr>
            <w:r>
              <w:t xml:space="preserve">≤4GB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NFR-PERF-13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数据库连接池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≤50连接/实例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NFR-PERF-14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缓存命中率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≥80%（Redis）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End w:id="12"/>
    <w:bookmarkStart w:id="15" w:name="可用性需求-availability-requirements"/>
    <w:p>
      <w:pPr>
        <w:pStyle w:val="Heading2"/>
      </w:pPr>
      <w:r>
        <w:t xml:space="preserve">2. </w:t>
      </w:r>
      <w:r>
        <w:rPr>
          <w:rFonts w:hint="eastAsia"/>
        </w:rPr>
        <w:t xml:space="preserve">可用性需求</w:t>
      </w:r>
      <w:r>
        <w:t xml:space="preserve"> (Availability Requirements)</w:t>
      </w:r>
    </w:p>
    <w:bookmarkStart w:id="13" w:name="系统可用性"/>
    <w:p>
      <w:pPr>
        <w:pStyle w:val="Heading3"/>
      </w:pPr>
      <w:r>
        <w:t xml:space="preserve">2.1 </w:t>
      </w:r>
      <w:r>
        <w:rPr>
          <w:rFonts w:hint="eastAsia"/>
        </w:rPr>
        <w:t xml:space="preserve">系统可用性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NFR-AVAIL-01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服务可用率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≥99.5%（全年非计划停机≤43.8小时）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NFR-AVAIL-02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计划维护窗口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寒暑假凌晨2:00-6:00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NFR-AVAIL-03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故障恢复时间(RTO)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≤30分钟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NFR-AVAIL-04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数据恢复点(RPO)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≤5分钟（数据库增量备份间隔）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NFR-AVAIL-05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高峰期容错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单节点故障不导致服务中断</w:t>
            </w:r>
          </w:p>
        </w:tc>
      </w:tr>
    </w:tbl>
    <w:bookmarkEnd w:id="13"/>
    <w:bookmarkStart w:id="14" w:name="降级策略"/>
    <w:p>
      <w:pPr>
        <w:pStyle w:val="Heading3"/>
      </w:pPr>
      <w:r>
        <w:t xml:space="preserve">2.2 </w:t>
      </w:r>
      <w:r>
        <w:rPr>
          <w:rFonts w:hint="eastAsia"/>
        </w:rPr>
        <w:t xml:space="preserve">降级策略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降级措施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教务系统不可用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使用缓存数据</w:t>
            </w:r>
            <w:r>
              <w:t xml:space="preserve"> + </w:t>
            </w:r>
            <w:r>
              <w:rPr>
                <w:rFonts w:hint="eastAsia"/>
              </w:rPr>
              <w:t xml:space="preserve">提示”数据可能非最新”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课程/成绩/考试查询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NLP模型服务不可用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降级为关键词匹配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回答准确率暂时下降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知识库ES不可用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降级为MySQL全文检索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检索速度降低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Redis缓存不可用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直接访问数据库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响应时间可能增加1-2秒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Start w:id="20" w:name="安全性需求-security-requirements"/>
    <w:p>
      <w:pPr>
        <w:pStyle w:val="Heading2"/>
      </w:pPr>
      <w:r>
        <w:t xml:space="preserve">3. </w:t>
      </w:r>
      <w:r>
        <w:rPr>
          <w:rFonts w:hint="eastAsia"/>
        </w:rPr>
        <w:t xml:space="preserve">安全性需求</w:t>
      </w:r>
      <w:r>
        <w:t xml:space="preserve"> (Security Requirements)</w:t>
      </w:r>
    </w:p>
    <w:bookmarkStart w:id="16" w:name="认证与授权"/>
    <w:p>
      <w:pPr>
        <w:pStyle w:val="Heading3"/>
      </w:pPr>
      <w:r>
        <w:t xml:space="preserve">3.1 </w:t>
      </w:r>
      <w:r>
        <w:rPr>
          <w:rFonts w:hint="eastAsia"/>
        </w:rPr>
        <w:t xml:space="preserve">认证与授权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262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NFR-SEC-01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统一认证接入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对接学校CAS/OAuth2.0统一身份认证平台，禁止系统存储明文密码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NFR-SEC-02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基于角色的访问控制(RBAC)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学生/教师/辅导员/管理员/家长/访客等角色权限隔离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NFR-SEC-03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Token管理</w:t>
            </w:r>
          </w:p>
        </w:tc>
        <w:tc>
          <w:tcPr/>
          <w:p>
            <w:pPr>
              <w:pStyle w:val="Compact"/>
            </w:pPr>
            <w:r>
              <w:t xml:space="preserve">JWT </w:t>
            </w:r>
            <w:r>
              <w:rPr>
                <w:rFonts w:hint="eastAsia"/>
              </w:rPr>
              <w:t xml:space="preserve">Token有效期2小时，支持Refresh</w:t>
            </w:r>
            <w:r>
              <w:t xml:space="preserve"> </w:t>
            </w:r>
            <w:r>
              <w:rPr>
                <w:rFonts w:hint="eastAsia"/>
              </w:rPr>
              <w:t xml:space="preserve">Token刷新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NFR-SEC-04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会话管理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30分钟无操作自动退出，支持多地登录检测与下线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NFR-SEC-05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API鉴权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所有API接口需携带有效Token，无Token请求仅允许公开接口</w:t>
            </w:r>
          </w:p>
        </w:tc>
      </w:tr>
    </w:tbl>
    <w:bookmarkEnd w:id="16"/>
    <w:bookmarkStart w:id="17" w:name="数据安全"/>
    <w:p>
      <w:pPr>
        <w:pStyle w:val="Heading3"/>
      </w:pPr>
      <w:r>
        <w:t xml:space="preserve">3.2 </w:t>
      </w:r>
      <w:r>
        <w:rPr>
          <w:rFonts w:hint="eastAsia"/>
        </w:rPr>
        <w:t xml:space="preserve">数据安全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262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NFR-SEC-06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传输加密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全站HTTPS，TLS≥1.2，禁止HTTP明文传输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NFR-SEC-07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敏感数据加密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个人信息（手机号、身份证号等）AES-256加密存储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NFR-SEC-08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数据脱敏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查询结果中敏感字段（如身份证号）显示为</w:t>
            </w:r>
            <w:r>
              <w:rPr>
                <w:rStyle w:val="VerbatimChar"/>
              </w:rPr>
              <w:t xml:space="preserve">320***********1234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NFR-SEC-09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数据库访问IP白名单+SSL连接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NFR-SEC-10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日志脱敏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审计日志中的敏感信息（密码、Token）自动脱敏或排除</w:t>
            </w:r>
          </w:p>
        </w:tc>
      </w:tr>
    </w:tbl>
    <w:bookmarkEnd w:id="17"/>
    <w:bookmarkStart w:id="18" w:name="攻击防护"/>
    <w:p>
      <w:pPr>
        <w:pStyle w:val="Heading3"/>
      </w:pPr>
      <w:r>
        <w:t xml:space="preserve">3.3 </w:t>
      </w:r>
      <w:r>
        <w:rPr>
          <w:rFonts w:hint="eastAsia"/>
        </w:rPr>
        <w:t xml:space="preserve">攻击防护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262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NFR-SEC-11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SQL注入防护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所有数据库操作使用参数化查询，ORM框架保护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NFR-SEC-12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XSS防护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用户输入HTML实体编码后再展示，CSP头配置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NFR-SEC-13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CSRF防护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管理后台接口使用CSRF</w:t>
            </w:r>
            <w:r>
              <w:t xml:space="preserve"> </w:t>
            </w:r>
            <w:r>
              <w:rPr>
                <w:rFonts w:hint="eastAsia"/>
              </w:rPr>
              <w:t xml:space="preserve">Token校验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NFR-SEC-14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频率限制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单IP</w:t>
            </w:r>
            <w:r>
              <w:t xml:space="preserve"> </w:t>
            </w:r>
            <w:r>
              <w:rPr>
                <w:rFonts w:hint="eastAsia"/>
              </w:rPr>
              <w:t xml:space="preserve">100次/分钟，单用户</w:t>
            </w:r>
            <w:r>
              <w:t xml:space="preserve"> </w:t>
            </w:r>
            <w:r>
              <w:rPr>
                <w:rFonts w:hint="eastAsia"/>
              </w:rPr>
              <w:t xml:space="preserve">30次/分钟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NFR-SEC-15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敏感词过滤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输入/输出两端敏感词检测过滤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NFR-SEC-16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文件上传安全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仅允许pdf/docx/xlsx/jpg/png格式，限制大小≤10MB，病毒扫描</w:t>
            </w:r>
          </w:p>
        </w:tc>
      </w:tr>
    </w:tbl>
    <w:bookmarkEnd w:id="18"/>
    <w:bookmarkStart w:id="19" w:name="隐私合规"/>
    <w:p>
      <w:pPr>
        <w:pStyle w:val="Heading3"/>
      </w:pPr>
      <w:r>
        <w:t xml:space="preserve">3.4 </w:t>
      </w:r>
      <w:r>
        <w:rPr>
          <w:rFonts w:hint="eastAsia"/>
        </w:rPr>
        <w:t xml:space="preserve">隐私合规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262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NFR-SEC-17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个人信息保护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遵循《个人信息保护法》，最小化收集原则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NFR-SEC-18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用户知情权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首次使用时展示隐私政策，获取用户同意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NFR-SEC-19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数据删除权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用户可申请删除对话历史和个人数据，30天内处理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NFR-SEC-20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家长授权机制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家长查看学生信息需获得学生显式授权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1" w:name="可靠性需求-reliability-requirements"/>
    <w:p>
      <w:pPr>
        <w:pStyle w:val="Heading2"/>
      </w:pPr>
      <w:r>
        <w:t xml:space="preserve">4. </w:t>
      </w:r>
      <w:r>
        <w:rPr>
          <w:rFonts w:hint="eastAsia"/>
        </w:rPr>
        <w:t xml:space="preserve">可靠性需求</w:t>
      </w:r>
      <w:r>
        <w:t xml:space="preserve"> (Reliability Requirements)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262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NFR-REL-01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数据不丢失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消息和知识条目变更零丢失(写入即持久化)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NFR-REL-02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数据一致性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与教务系统数据延迟≤5分钟（缓存刷新周期）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NFR-REL-03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答案准确性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知识库覆盖范围内答案正确率≥95%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NFR-REL-04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意图识别准确率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NLU意图识别准确率≥85%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NFR-REL-05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外部API容错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外部系统API调用失败时自动重试3次(间隔1秒/3秒/5秒)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NFR-REL-06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消息发送可靠性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WebSocket断连自动重连，未送达消息持久化重发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可维护性需求-maintainability-requirements"/>
    <w:p>
      <w:pPr>
        <w:pStyle w:val="Heading2"/>
      </w:pPr>
      <w:r>
        <w:t xml:space="preserve">5. </w:t>
      </w:r>
      <w:r>
        <w:rPr>
          <w:rFonts w:hint="eastAsia"/>
        </w:rPr>
        <w:t xml:space="preserve">可维护性需求</w:t>
      </w:r>
      <w:r>
        <w:t xml:space="preserve"> (Maintainability Requirements)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262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NFR-MAIN-01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模块化架构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前端、NLU引擎、对话管理、知识检索、API网关独立部署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NFR-MAIN-02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结构化日志(JSON格式)，分级(DEBUG/INFO/WARN/ERROR)，集中采集(ELK)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NFR-MAIN-03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监控告警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关键指标(P99延迟、错误率、QPS)接入Prometheus+Grafana，钉钉/邮件告警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NFR-MAIN-04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配置热更新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知识库内容、FAQ、敏感词等配置变更无需重启服务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NFR-MAIN-05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自动化部署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CI/CD流水线，支持蓝绿部署和快速回滚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NFR-MAIN-06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知识库版本管理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每次修改自动生成新版本，保留历史版本，支持回退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NFR-MAIN-07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数据库迁移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使用Flyway/Liquibase等数据库版本管理工具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可扩展性需求-scalability-requirements"/>
    <w:p>
      <w:pPr>
        <w:pStyle w:val="Heading2"/>
      </w:pPr>
      <w:r>
        <w:t xml:space="preserve">6. </w:t>
      </w:r>
      <w:r>
        <w:rPr>
          <w:rFonts w:hint="eastAsia"/>
        </w:rPr>
        <w:t xml:space="preserve">可扩展性需求</w:t>
      </w:r>
      <w:r>
        <w:t xml:space="preserve"> (Scalability Requirements)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262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NFR-SCALE-01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水平扩展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问答服务、管理服务支持水平扩展，通过Nginx负载均衡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NFR-SCALE-02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支持读写分离，知识库检索使用Elasticsearch集群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NFR-SCALE-03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渠道扩展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新增接入渠道(如钉钉、企业微信)不超过10人天开发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NFR-SCALE-04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知识领域扩展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新增知识分类和领域不影响现有问答逻辑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7" w:name="兼容性需求-compatibility-requirements"/>
    <w:p>
      <w:pPr>
        <w:pStyle w:val="Heading2"/>
      </w:pPr>
      <w:r>
        <w:t xml:space="preserve">7. </w:t>
      </w:r>
      <w:r>
        <w:rPr>
          <w:rFonts w:hint="eastAsia"/>
        </w:rPr>
        <w:t xml:space="preserve">兼容性需求</w:t>
      </w:r>
      <w:r>
        <w:t xml:space="preserve"> (Compatibility Requirements)</w:t>
      </w:r>
    </w:p>
    <w:bookmarkStart w:id="24" w:name="浏览器兼容"/>
    <w:p>
      <w:pPr>
        <w:pStyle w:val="Heading3"/>
      </w:pPr>
      <w:r>
        <w:t xml:space="preserve">7.1 </w:t>
      </w:r>
      <w:r>
        <w:rPr>
          <w:rFonts w:hint="eastAsia"/>
        </w:rPr>
        <w:t xml:space="preserve">浏览器兼容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最低版本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Chrome</w:t>
            </w:r>
          </w:p>
        </w:tc>
        <w:tc>
          <w:tcPr/>
          <w:p>
            <w:pPr>
              <w:pStyle w:val="Compact"/>
            </w:pPr>
            <w:r>
              <w:t xml:space="preserve">≥90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主要支持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Safari</w:t>
            </w:r>
          </w:p>
        </w:tc>
        <w:tc>
          <w:tcPr/>
          <w:p>
            <w:pPr>
              <w:pStyle w:val="Compact"/>
            </w:pPr>
            <w:r>
              <w:t xml:space="preserve">≥14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iOS设备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Edge</w:t>
            </w:r>
          </w:p>
        </w:tc>
        <w:tc>
          <w:tcPr/>
          <w:p>
            <w:pPr>
              <w:pStyle w:val="Compact"/>
            </w:pPr>
            <w:r>
              <w:t xml:space="preserve">≥90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Windows用户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Firefox</w:t>
            </w:r>
          </w:p>
        </w:tc>
        <w:tc>
          <w:tcPr/>
          <w:p>
            <w:pPr>
              <w:pStyle w:val="Compact"/>
            </w:pPr>
            <w:r>
              <w:t xml:space="preserve">≥88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辅助支持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微信内置浏览器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最新版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小程序/公众号</w:t>
            </w:r>
          </w:p>
        </w:tc>
      </w:tr>
    </w:tbl>
    <w:bookmarkEnd w:id="24"/>
    <w:bookmarkStart w:id="25" w:name="移动端兼容"/>
    <w:p>
      <w:pPr>
        <w:pStyle w:val="Heading3"/>
      </w:pPr>
      <w:r>
        <w:t xml:space="preserve">7.2 </w:t>
      </w:r>
      <w:r>
        <w:rPr>
          <w:rFonts w:hint="eastAsia"/>
        </w:rPr>
        <w:t xml:space="preserve">移动端兼容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最低版本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iOS</w:t>
            </w:r>
          </w:p>
        </w:tc>
        <w:tc>
          <w:tcPr/>
          <w:p>
            <w:pPr>
              <w:pStyle w:val="Compact"/>
            </w:pPr>
            <w:r>
              <w:t xml:space="preserve">≥14.0</w:t>
            </w:r>
          </w:p>
        </w:tc>
        <w:tc>
          <w:tcPr/>
          <w:p>
            <w:pPr>
              <w:pStyle w:val="Compact"/>
            </w:pPr>
            <w:r>
              <w:t xml:space="preserve">Safari / </w:t>
            </w:r>
            <w:r>
              <w:rPr>
                <w:rFonts w:hint="eastAsia"/>
              </w:rPr>
              <w:t xml:space="preserve">微信内置浏览器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</w:t>
            </w:r>
          </w:p>
        </w:tc>
        <w:tc>
          <w:tcPr/>
          <w:p>
            <w:pPr>
              <w:pStyle w:val="Compact"/>
            </w:pPr>
            <w:r>
              <w:t xml:space="preserve">≥8.0</w:t>
            </w:r>
          </w:p>
        </w:tc>
        <w:tc>
          <w:tcPr/>
          <w:p>
            <w:pPr>
              <w:pStyle w:val="Compact"/>
            </w:pPr>
            <w:r>
              <w:t xml:space="preserve">Chrome / </w:t>
            </w:r>
            <w:r>
              <w:rPr>
                <w:rFonts w:hint="eastAsia"/>
              </w:rPr>
              <w:t xml:space="preserve">微信内置浏览器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屏幕宽度</w:t>
            </w:r>
          </w:p>
        </w:tc>
        <w:tc>
          <w:tcPr/>
          <w:p>
            <w:pPr>
              <w:pStyle w:val="Compact"/>
            </w:pPr>
            <w:r>
              <w:t xml:space="preserve">≥320px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适配小屏手机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屏幕宽度</w:t>
            </w:r>
          </w:p>
        </w:tc>
        <w:tc>
          <w:tcPr/>
          <w:p>
            <w:pPr>
              <w:pStyle w:val="Compact"/>
            </w:pPr>
            <w:r>
              <w:t xml:space="preserve">≤1920px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适配桌面Web</w:t>
            </w:r>
          </w:p>
        </w:tc>
      </w:tr>
    </w:tbl>
    <w:bookmarkEnd w:id="25"/>
    <w:bookmarkStart w:id="26" w:name="外部系统兼容"/>
    <w:p>
      <w:pPr>
        <w:pStyle w:val="Heading3"/>
      </w:pPr>
      <w:r>
        <w:t xml:space="preserve">7.3 </w:t>
      </w:r>
      <w:r>
        <w:rPr>
          <w:rFonts w:hint="eastAsia"/>
        </w:rPr>
        <w:t xml:space="preserve">外部系统兼容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接口版本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统一认证平台</w:t>
            </w:r>
          </w:p>
        </w:tc>
        <w:tc>
          <w:tcPr/>
          <w:p>
            <w:pPr>
              <w:pStyle w:val="Compact"/>
            </w:pPr>
            <w:r>
              <w:t xml:space="preserve">CAS 3.0 / OAuth2.0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兼容学校现有认证体系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教务管理系统</w:t>
            </w:r>
          </w:p>
        </w:tc>
        <w:tc>
          <w:tcPr/>
          <w:p>
            <w:pPr>
              <w:pStyle w:val="Compact"/>
            </w:pPr>
            <w:r>
              <w:t xml:space="preserve">RESTful API v2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课程/成绩/考试/课表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OA系统</w:t>
            </w:r>
          </w:p>
        </w:tc>
        <w:tc>
          <w:tcPr/>
          <w:p>
            <w:pPr>
              <w:pStyle w:val="Compact"/>
            </w:pPr>
            <w:r>
              <w:t xml:space="preserve">RESTful API v1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办事流程/规章制度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28" w:name="可用性易用性需求-usability-requirements"/>
    <w:p>
      <w:pPr>
        <w:pStyle w:val="Heading2"/>
      </w:pPr>
      <w:r>
        <w:t xml:space="preserve">8. </w:t>
      </w:r>
      <w:r>
        <w:rPr>
          <w:rFonts w:hint="eastAsia"/>
        </w:rPr>
        <w:t xml:space="preserve">可用性(易用性)需求</w:t>
      </w:r>
      <w:r>
        <w:t xml:space="preserve"> (Usability Requirements)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38"/>
        <w:gridCol w:w="2184"/>
        <w:gridCol w:w="1638"/>
        <w:gridCol w:w="245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NFR-USE-01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所有用户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无需培训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90%用户首次使用无需培训即可完成查询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NFR-USE-02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操作效率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完成一次课程查询≤3次点击/输入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NFR-USE-03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极简界面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大字模式(≥16px字号)，支持全语音操作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NFR-USE-04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零门槛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无需注册登录即可使用基础查询功能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NFR-USE-05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操作效率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新增一条知识条目≤3分钟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NFR-USE-06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所有用户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错误提示友好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错误提示使用通俗语言，引导用户下一步操作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NFR-USE-07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所有用户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无障碍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支持屏幕阅读器(VoiceOver/TalkBack)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NFR-USE-08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留学生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多语言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支持中英文界面切换，英文回答质量不低于中文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可测试性需求-testability-requirements"/>
    <w:p>
      <w:pPr>
        <w:pStyle w:val="Heading2"/>
      </w:pPr>
      <w:r>
        <w:t xml:space="preserve">9. </w:t>
      </w:r>
      <w:r>
        <w:rPr>
          <w:rFonts w:hint="eastAsia"/>
        </w:rPr>
        <w:t xml:space="preserve">可测试性需求</w:t>
      </w:r>
      <w:r>
        <w:t xml:space="preserve"> (Testability Requirements)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262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NFR-TEST-01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单元测试覆盖率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核心业务逻辑≥80%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NFR-TEST-02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集成测试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各外部系统接口均有集成测试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NFR-TEST-03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NLU评估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提供独立的NLU评估脚本和测试集(≥1000条标注数据)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NFR-TEST-04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压力测试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每版本发布前完成压力测试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NFR-TEST-05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独立的测试环境，不与生产环境共享数据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2" w:name="部署与运维需求-deployment-operations"/>
    <w:p>
      <w:pPr>
        <w:pStyle w:val="Heading2"/>
      </w:pPr>
      <w:r>
        <w:t xml:space="preserve">10. </w:t>
      </w:r>
      <w:r>
        <w:rPr>
          <w:rFonts w:hint="eastAsia"/>
        </w:rPr>
        <w:t xml:space="preserve">部署与运维需求</w:t>
      </w:r>
      <w:r>
        <w:t xml:space="preserve"> (Deployment &amp; Operations)</w:t>
      </w:r>
    </w:p>
    <w:bookmarkStart w:id="30" w:name="部署环境"/>
    <w:p>
      <w:pPr>
        <w:pStyle w:val="Heading3"/>
      </w:pPr>
      <w:r>
        <w:t xml:space="preserve">10.1 </w:t>
      </w:r>
      <w:r>
        <w:rPr>
          <w:rFonts w:hint="eastAsia"/>
        </w:rPr>
        <w:t xml:space="preserve">部署环境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NFR-DEP-01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支持Docker容器化部署，使用K8s编排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NFR-DEP-02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t xml:space="preserve">Linux (Ubuntu 22.04 LTS / CentOS 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NFR-DEP-03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</w:t>
            </w:r>
          </w:p>
        </w:tc>
        <w:tc>
          <w:tcPr/>
          <w:p>
            <w:pPr>
              <w:pStyle w:val="Compact"/>
            </w:pPr>
            <w:r>
              <w:t xml:space="preserve">MySQL 8.0 + Elasticsearch 8.x + Redis 7.x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NFR-DEP-04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运行环境</w:t>
            </w:r>
          </w:p>
        </w:tc>
        <w:tc>
          <w:tcPr/>
          <w:p>
            <w:pPr>
              <w:pStyle w:val="Compact"/>
            </w:pPr>
            <w:r>
              <w:t xml:space="preserve">JDK 17 / Python 3.10 / Node.js 18</w:t>
            </w:r>
          </w:p>
        </w:tc>
      </w:tr>
    </w:tbl>
    <w:bookmarkEnd w:id="30"/>
    <w:bookmarkStart w:id="31" w:name="运维需求"/>
    <w:p>
      <w:pPr>
        <w:pStyle w:val="Heading3"/>
      </w:pPr>
      <w:r>
        <w:t xml:space="preserve">10.2 </w:t>
      </w:r>
      <w:r>
        <w:rPr>
          <w:rFonts w:hint="eastAsia"/>
        </w:rPr>
        <w:t xml:space="preserve">运维需求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262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NFR-OPS-01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备份策略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数据库每日全量备份+每小时增量备份，日志保留≥90天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NFR-OPS-02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监控覆盖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应用层(JVM/GC/线程池)、系统层(CPU/内存/磁盘/网络)、业务层(QPS/响应时间/错误率)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NFR-OPS-03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健康检查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提供/health端点，K8s</w:t>
            </w:r>
            <w:r>
              <w:t xml:space="preserve"> </w:t>
            </w:r>
            <w:r>
              <w:rPr>
                <w:rFonts w:hint="eastAsia"/>
              </w:rPr>
              <w:t xml:space="preserve">Liveness和Readiness探针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3" w:name="法律与合规需求"/>
    <w:p>
      <w:pPr>
        <w:pStyle w:val="Heading2"/>
      </w:pPr>
      <w:r>
        <w:t xml:space="preserve">11. </w:t>
      </w:r>
      <w:r>
        <w:rPr>
          <w:rFonts w:hint="eastAsia"/>
        </w:rPr>
        <w:t xml:space="preserve">法律与合规需求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NFR-LEGAL-01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等保合规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达到等保2.0二级标准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NFR-LEGAL-02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个人信息保护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遵循《个人信息保护法》，数据不出境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NFR-LEGAL-03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软件著作权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完成软件著作权登记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NFR-LEGAL-04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数据所有权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所有数据归学校所有，不得用于其他目的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非功能性需求总表"/>
    <w:p>
      <w:pPr>
        <w:pStyle w:val="Heading2"/>
      </w:pPr>
      <w:r>
        <w:t xml:space="preserve">12. </w:t>
      </w:r>
      <w:r>
        <w:rPr>
          <w:rFonts w:hint="eastAsia"/>
        </w:rPr>
        <w:t xml:space="preserve">非功能性需求总表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关键指标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P95响应≤3秒,</w:t>
            </w:r>
            <w:r>
              <w:t xml:space="preserve"> </w:t>
            </w:r>
            <w:r>
              <w:rPr>
                <w:rFonts w:hint="eastAsia"/>
              </w:rPr>
              <w:t xml:space="preserve">并发≥500QPS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可用性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可用率≥99.5%,</w:t>
            </w:r>
            <w:r>
              <w:t xml:space="preserve"> RTO≤30min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安全性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RBAC, HTTPS, </w:t>
            </w:r>
            <w:r>
              <w:rPr>
                <w:rFonts w:hint="eastAsia"/>
              </w:rPr>
              <w:t xml:space="preserve">脱敏,</w:t>
            </w:r>
            <w:r>
              <w:t xml:space="preserve"> </w:t>
            </w:r>
            <w:r>
              <w:rPr>
                <w:rFonts w:hint="eastAsia"/>
              </w:rPr>
              <w:t xml:space="preserve">审计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可靠性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准确率≥95%,</w:t>
            </w:r>
            <w:r>
              <w:t xml:space="preserve"> </w:t>
            </w:r>
            <w:r>
              <w:rPr>
                <w:rFonts w:hint="eastAsia"/>
              </w:rPr>
              <w:t xml:space="preserve">数据零丢失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可维护性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模块化,</w:t>
            </w:r>
            <w:r>
              <w:t xml:space="preserve"> CI/CD, </w:t>
            </w:r>
            <w:r>
              <w:rPr>
                <w:rFonts w:hint="eastAsia"/>
              </w:rPr>
              <w:t xml:space="preserve">监控告警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可扩展性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水平扩展,</w:t>
            </w:r>
            <w:r>
              <w:t xml:space="preserve"> </w:t>
            </w:r>
            <w:r>
              <w:rPr>
                <w:rFonts w:hint="eastAsia"/>
              </w:rPr>
              <w:t xml:space="preserve">渠道扩展≤10人天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兼容性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主流浏览器+移动端+外部系统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易用性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无需培训,</w:t>
            </w:r>
            <w:r>
              <w:t xml:space="preserve"> </w:t>
            </w:r>
            <w:r>
              <w:rPr>
                <w:rFonts w:hint="eastAsia"/>
              </w:rPr>
              <w:t xml:space="preserve">≤3次操作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可测试性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单元测试≥80%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部署运维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Docker+K8s, </w:t>
            </w:r>
            <w:r>
              <w:rPr>
                <w:rFonts w:hint="eastAsia"/>
              </w:rPr>
              <w:t xml:space="preserve">每日备份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法律合规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等保2.0,</w:t>
            </w:r>
            <w:r>
              <w:t xml:space="preserve"> </w:t>
            </w:r>
            <w:r>
              <w:rPr>
                <w:rFonts w:hint="eastAsia"/>
              </w:rPr>
              <w:t xml:space="preserve">数据不出境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94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各用户群的非功能性需求分配"/>
    <w:p>
      <w:pPr>
        <w:pStyle w:val="Heading2"/>
      </w:pPr>
      <w:r>
        <w:t xml:space="preserve">13. </w:t>
      </w:r>
      <w:r>
        <w:rPr>
          <w:rFonts w:hint="eastAsia"/>
        </w:rPr>
        <w:t xml:space="preserve">各用户群的非功能性需求分配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080"/>
        <w:gridCol w:w="1080"/>
        <w:gridCol w:w="144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可用性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易用性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兼容性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≤3秒响应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认证+数据脱敏</w:t>
            </w:r>
          </w:p>
        </w:tc>
        <w:tc>
          <w:tcPr/>
          <w:p>
            <w:pPr>
              <w:pStyle w:val="Compact"/>
            </w:pPr>
            <w:r>
              <w:t xml:space="preserve">7×24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移动端优先</w:t>
            </w:r>
          </w:p>
        </w:tc>
        <w:tc>
          <w:tcPr/>
          <w:p>
            <w:pPr>
              <w:pStyle w:val="Compact"/>
            </w:pPr>
            <w:r>
              <w:t xml:space="preserve">iOS/Android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研究生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≤3秒响应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认证+双角色权限</w:t>
            </w:r>
          </w:p>
        </w:tc>
        <w:tc>
          <w:tcPr/>
          <w:p>
            <w:pPr>
              <w:pStyle w:val="Compact"/>
            </w:pPr>
            <w:r>
              <w:t xml:space="preserve">7×24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多角色切换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全平台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≤5秒(含导出)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认证+数据权限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工作日重点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Web端优先</w:t>
            </w:r>
          </w:p>
        </w:tc>
        <w:tc>
          <w:tcPr/>
          <w:p>
            <w:pPr>
              <w:pStyle w:val="Compact"/>
            </w:pPr>
            <w:r>
              <w:t xml:space="preserve">Windows/Mac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辅导员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≤5秒(批量查询)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认证+班级级权限</w:t>
            </w:r>
          </w:p>
        </w:tc>
        <w:tc>
          <w:tcPr/>
          <w:p>
            <w:pPr>
              <w:pStyle w:val="Compact"/>
            </w:pPr>
            <w:r>
              <w:t xml:space="preserve">7×24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批量操作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移动端优先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行政人员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≤3秒(管理操作)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认证+审计日志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管理后台</w:t>
            </w:r>
          </w:p>
        </w:tc>
        <w:tc>
          <w:tcPr/>
          <w:p>
            <w:pPr>
              <w:pStyle w:val="Compact"/>
            </w:pPr>
            <w:r>
              <w:t xml:space="preserve">Windows PC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≤3秒响应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认证+学生授权</w:t>
            </w:r>
          </w:p>
        </w:tc>
        <w:tc>
          <w:tcPr/>
          <w:p>
            <w:pPr>
              <w:pStyle w:val="Compact"/>
            </w:pPr>
            <w:r>
              <w:t xml:space="preserve">7×24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大字+语音</w:t>
            </w:r>
          </w:p>
        </w:tc>
        <w:tc>
          <w:tcPr/>
          <w:p>
            <w:pPr>
              <w:pStyle w:val="Compact"/>
            </w:pPr>
            <w:r>
              <w:t xml:space="preserve">Android/iOS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≤3秒响应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无需认证</w:t>
            </w:r>
          </w:p>
        </w:tc>
        <w:tc>
          <w:tcPr/>
          <w:p>
            <w:pPr>
              <w:pStyle w:val="Compact"/>
            </w:pPr>
            <w:r>
              <w:t xml:space="preserve">7×24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零门槛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全平台</w:t>
            </w:r>
          </w:p>
        </w:tc>
      </w:tr>
    </w:tbl>
    <w:bookmarkEnd w:id="35"/>
    <w:bookmarkEnd w:id="36"/>
    <w:p>
      <w:pPr>
        <w:pStyle w:val="Heading1"/>
      </w:pPr>
      <w:r>
        <w:t>14. V1.1 SRS扩展同步补充</w:t>
      </w:r>
    </w:p>
    <w:p>
      <w:r>
        <w:t>本节同步SRS V1.1扩写后的多角色、多终端和后台管理范围，补充可验收的非功能指标。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指标域</w:t>
            </w:r>
          </w:p>
        </w:tc>
        <w:tc>
          <w:tcPr>
            <w:tcW w:type="dxa" w:w="3120"/>
          </w:tcPr>
          <w:p>
            <w:r>
              <w:t>V1.1补充要求</w:t>
            </w:r>
          </w:p>
        </w:tc>
        <w:tc>
          <w:tcPr>
            <w:tcW w:type="dxa" w:w="3120"/>
          </w:tcPr>
          <w:p>
            <w:r>
              <w:t>测量方式</w:t>
            </w:r>
          </w:p>
        </w:tc>
      </w:tr>
      <w:tr>
        <w:tc>
          <w:tcPr>
            <w:tcW w:type="dxa" w:w="3120"/>
          </w:tcPr>
          <w:p>
            <w:r>
              <w:t>性能</w:t>
            </w:r>
          </w:p>
        </w:tc>
        <w:tc>
          <w:tcPr>
            <w:tcW w:type="dxa" w:w="3120"/>
          </w:tcPr>
          <w:p>
            <w:r>
              <w:t>学生高峰查询、知识库检索、外部API调用分别统计P95响应时间。</w:t>
            </w:r>
          </w:p>
        </w:tc>
        <w:tc>
          <w:tcPr>
            <w:tcW w:type="dxa" w:w="3120"/>
          </w:tcPr>
          <w:p>
            <w:r>
              <w:t>压测报告、APM链路追踪。</w:t>
            </w:r>
          </w:p>
        </w:tc>
      </w:tr>
      <w:tr>
        <w:tc>
          <w:tcPr>
            <w:tcW w:type="dxa" w:w="3120"/>
          </w:tcPr>
          <w:p>
            <w:r>
              <w:t>容量</w:t>
            </w:r>
          </w:p>
        </w:tc>
        <w:tc>
          <w:tcPr>
            <w:tcW w:type="dxa" w:w="3120"/>
          </w:tcPr>
          <w:p>
            <w:r>
              <w:t>考试周、选课周按峰值并发用户和日消息量设计容量。</w:t>
            </w:r>
          </w:p>
        </w:tc>
        <w:tc>
          <w:tcPr>
            <w:tcW w:type="dxa" w:w="3120"/>
          </w:tcPr>
          <w:p>
            <w:r>
              <w:t>容量模型和压力测试。</w:t>
            </w:r>
          </w:p>
        </w:tc>
      </w:tr>
      <w:tr>
        <w:tc>
          <w:tcPr>
            <w:tcW w:type="dxa" w:w="3120"/>
          </w:tcPr>
          <w:p>
            <w:r>
              <w:t>安全</w:t>
            </w:r>
          </w:p>
        </w:tc>
        <w:tc>
          <w:tcPr>
            <w:tcW w:type="dxa" w:w="3120"/>
          </w:tcPr>
          <w:p>
            <w:r>
              <w:t>按角色、数据级别和操作类型实施RBAC与审计。</w:t>
            </w:r>
          </w:p>
        </w:tc>
        <w:tc>
          <w:tcPr>
            <w:tcW w:type="dxa" w:w="3120"/>
          </w:tcPr>
          <w:p>
            <w:r>
              <w:t>权限测试、安全测试和审计日志检查。</w:t>
            </w:r>
          </w:p>
        </w:tc>
      </w:tr>
      <w:tr>
        <w:tc>
          <w:tcPr>
            <w:tcW w:type="dxa" w:w="3120"/>
          </w:tcPr>
          <w:p>
            <w:r>
              <w:t>兼容性</w:t>
            </w:r>
          </w:p>
        </w:tc>
        <w:tc>
          <w:tcPr>
            <w:tcW w:type="dxa" w:w="3120"/>
          </w:tcPr>
          <w:p>
            <w:r>
              <w:t>Web、H5、小程序和主流移动浏览器纳入回归范围。</w:t>
            </w:r>
          </w:p>
        </w:tc>
        <w:tc>
          <w:tcPr>
            <w:tcW w:type="dxa" w:w="3120"/>
          </w:tcPr>
          <w:p>
            <w:r>
              <w:t>兼容性测试矩阵。</w:t>
            </w:r>
          </w:p>
        </w:tc>
      </w:tr>
    </w:tbl>
    <w:p>
      <w:pPr>
        <w:pStyle w:val="Heading1"/>
      </w:pPr>
      <w:r>
        <w:t>15. V1.2 可测量性与运维补充</w:t>
      </w:r>
    </w:p>
    <w:p>
      <w:r>
        <w:t>V1.2将非功能需求落实到SLO、监控告警、演练和测试证据，避免只描述目标而无法验收。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SLO/控制项</w:t>
            </w:r>
          </w:p>
        </w:tc>
        <w:tc>
          <w:tcPr>
            <w:tcW w:type="dxa" w:w="3120"/>
          </w:tcPr>
          <w:p>
            <w:r>
              <w:t>目标</w:t>
            </w:r>
          </w:p>
        </w:tc>
        <w:tc>
          <w:tcPr>
            <w:tcW w:type="dxa" w:w="3120"/>
          </w:tcPr>
          <w:p>
            <w:r>
              <w:t>告警或验收规则</w:t>
            </w:r>
          </w:p>
        </w:tc>
      </w:tr>
      <w:tr>
        <w:tc>
          <w:tcPr>
            <w:tcW w:type="dxa" w:w="3120"/>
          </w:tcPr>
          <w:p>
            <w:r>
              <w:t>问答服务可用性</w:t>
            </w:r>
          </w:p>
        </w:tc>
        <w:tc>
          <w:tcPr>
            <w:tcW w:type="dxa" w:w="3120"/>
          </w:tcPr>
          <w:p>
            <w:r>
              <w:t>月度可用性不低于99.5%。</w:t>
            </w:r>
          </w:p>
        </w:tc>
        <w:tc>
          <w:tcPr>
            <w:tcW w:type="dxa" w:w="3120"/>
          </w:tcPr>
          <w:p>
            <w:r>
              <w:t>低于目标需形成故障复盘和改进项。</w:t>
            </w:r>
          </w:p>
        </w:tc>
      </w:tr>
      <w:tr>
        <w:tc>
          <w:tcPr>
            <w:tcW w:type="dxa" w:w="3120"/>
          </w:tcPr>
          <w:p>
            <w:r>
              <w:t>知识库命中响应</w:t>
            </w:r>
          </w:p>
        </w:tc>
        <w:tc>
          <w:tcPr>
            <w:tcW w:type="dxa" w:w="3120"/>
          </w:tcPr>
          <w:p>
            <w:r>
              <w:t>知识库命中场景P95不超过3秒。</w:t>
            </w:r>
          </w:p>
        </w:tc>
        <w:tc>
          <w:tcPr>
            <w:tcW w:type="dxa" w:w="3120"/>
          </w:tcPr>
          <w:p>
            <w:r>
              <w:t>压测和生产监控均需采集。</w:t>
            </w:r>
          </w:p>
        </w:tc>
      </w:tr>
      <w:tr>
        <w:tc>
          <w:tcPr>
            <w:tcW w:type="dxa" w:w="3120"/>
          </w:tcPr>
          <w:p>
            <w:r>
              <w:t>外部接口降级</w:t>
            </w:r>
          </w:p>
        </w:tc>
        <w:tc>
          <w:tcPr>
            <w:tcW w:type="dxa" w:w="3120"/>
          </w:tcPr>
          <w:p>
            <w:r>
              <w:t>外部系统不可用时返回明确降级提示。</w:t>
            </w:r>
          </w:p>
        </w:tc>
        <w:tc>
          <w:tcPr>
            <w:tcW w:type="dxa" w:w="3120"/>
          </w:tcPr>
          <w:p>
            <w:r>
              <w:t>故障演练验证。</w:t>
            </w:r>
          </w:p>
        </w:tc>
      </w:tr>
      <w:tr>
        <w:tc>
          <w:tcPr>
            <w:tcW w:type="dxa" w:w="3120"/>
          </w:tcPr>
          <w:p>
            <w:r>
              <w:t>安全事件响应</w:t>
            </w:r>
          </w:p>
        </w:tc>
        <w:tc>
          <w:tcPr>
            <w:tcW w:type="dxa" w:w="3120"/>
          </w:tcPr>
          <w:p>
            <w:r>
              <w:t>高危事件发现后30分钟内通知负责人。</w:t>
            </w:r>
          </w:p>
        </w:tc>
        <w:tc>
          <w:tcPr>
            <w:tcW w:type="dxa" w:w="3120"/>
          </w:tcPr>
          <w:p>
            <w:r>
              <w:t>告警记录和处置记录检查。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测试类型</w:t>
            </w:r>
          </w:p>
        </w:tc>
        <w:tc>
          <w:tcPr>
            <w:tcW w:type="dxa" w:w="3120"/>
          </w:tcPr>
          <w:p>
            <w:r>
              <w:t>覆盖内容</w:t>
            </w:r>
          </w:p>
        </w:tc>
        <w:tc>
          <w:tcPr>
            <w:tcW w:type="dxa" w:w="3120"/>
          </w:tcPr>
          <w:p>
            <w:r>
              <w:t>准入要求</w:t>
            </w:r>
          </w:p>
        </w:tc>
      </w:tr>
      <w:tr>
        <w:tc>
          <w:tcPr>
            <w:tcW w:type="dxa" w:w="3120"/>
          </w:tcPr>
          <w:p>
            <w:r>
              <w:t>压力测试</w:t>
            </w:r>
          </w:p>
        </w:tc>
        <w:tc>
          <w:tcPr>
            <w:tcW w:type="dxa" w:w="3120"/>
          </w:tcPr>
          <w:p>
            <w:r>
              <w:t>高峰并发、长稳、突发流量。</w:t>
            </w:r>
          </w:p>
        </w:tc>
        <w:tc>
          <w:tcPr>
            <w:tcW w:type="dxa" w:w="3120"/>
          </w:tcPr>
          <w:p>
            <w:r>
              <w:t>无P0/P1性能缺陷。</w:t>
            </w:r>
          </w:p>
        </w:tc>
      </w:tr>
      <w:tr>
        <w:tc>
          <w:tcPr>
            <w:tcW w:type="dxa" w:w="3120"/>
          </w:tcPr>
          <w:p>
            <w:r>
              <w:t>安全测试</w:t>
            </w:r>
          </w:p>
        </w:tc>
        <w:tc>
          <w:tcPr>
            <w:tcW w:type="dxa" w:w="3120"/>
          </w:tcPr>
          <w:p>
            <w:r>
              <w:t>认证、授权、注入、越权、敏感信息泄露。</w:t>
            </w:r>
          </w:p>
        </w:tc>
        <w:tc>
          <w:tcPr>
            <w:tcW w:type="dxa" w:w="3120"/>
          </w:tcPr>
          <w:p>
            <w:r>
              <w:t>高危漏洞关闭后方可上线。</w:t>
            </w:r>
          </w:p>
        </w:tc>
      </w:tr>
      <w:tr>
        <w:tc>
          <w:tcPr>
            <w:tcW w:type="dxa" w:w="3120"/>
          </w:tcPr>
          <w:p>
            <w:r>
              <w:t>容灾演练</w:t>
            </w:r>
          </w:p>
        </w:tc>
        <w:tc>
          <w:tcPr>
            <w:tcW w:type="dxa" w:w="3120"/>
          </w:tcPr>
          <w:p>
            <w:r>
              <w:t>服务重启、数据库备份恢复、缓存失效、外部接口超时。</w:t>
            </w:r>
          </w:p>
        </w:tc>
        <w:tc>
          <w:tcPr>
            <w:tcW w:type="dxa" w:w="3120"/>
          </w:tcPr>
          <w:p>
            <w:r>
              <w:t>满足RTO/RPO目标。</w:t>
            </w:r>
          </w:p>
        </w:tc>
      </w:tr>
    </w:tbl>
    <w:p>
      <w:pPr>
        <w:pStyle w:val="Heading1"/>
      </w:pPr>
      <w:r>
        <w:t>16. V1.3 非功能需求基线确认</w:t>
      </w:r>
    </w:p>
    <w:p>
      <w:r>
        <w:t>V1.3作为非功能需求正式基线。设计、开发、测试、上线和运维交接均应以本版本指标为最低准入要求。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基线项</w:t>
            </w:r>
          </w:p>
        </w:tc>
        <w:tc>
          <w:tcPr>
            <w:tcW w:type="dxa" w:w="3120"/>
          </w:tcPr>
          <w:p>
            <w:r>
              <w:t>确认内容</w:t>
            </w:r>
          </w:p>
        </w:tc>
        <w:tc>
          <w:tcPr>
            <w:tcW w:type="dxa" w:w="3120"/>
          </w:tcPr>
          <w:p>
            <w:r>
              <w:t>变更控制</w:t>
            </w:r>
          </w:p>
        </w:tc>
      </w:tr>
      <w:tr>
        <w:tc>
          <w:tcPr>
            <w:tcW w:type="dxa" w:w="3120"/>
          </w:tcPr>
          <w:p>
            <w:r>
              <w:t>关键指标</w:t>
            </w:r>
          </w:p>
        </w:tc>
        <w:tc>
          <w:tcPr>
            <w:tcW w:type="dxa" w:w="3120"/>
          </w:tcPr>
          <w:p>
            <w:r>
              <w:t>响应时间、吞吐量、可用性、安全、可靠性、兼容性、可维护性和运维监控。</w:t>
            </w:r>
          </w:p>
        </w:tc>
        <w:tc>
          <w:tcPr>
            <w:tcW w:type="dxa" w:w="3120"/>
          </w:tcPr>
          <w:p>
            <w:r>
              <w:t>指标降低必须经项目负责人、业务代表和运维代表确认。</w:t>
            </w:r>
          </w:p>
        </w:tc>
      </w:tr>
      <w:tr>
        <w:tc>
          <w:tcPr>
            <w:tcW w:type="dxa" w:w="3120"/>
          </w:tcPr>
          <w:p>
            <w:r>
              <w:t>验收证据</w:t>
            </w:r>
          </w:p>
        </w:tc>
        <w:tc>
          <w:tcPr>
            <w:tcW w:type="dxa" w:w="3120"/>
          </w:tcPr>
          <w:p>
            <w:r>
              <w:t>压测、安全测试、兼容性测试、容灾演练、监控告警和缺陷闭环记录。</w:t>
            </w:r>
          </w:p>
        </w:tc>
        <w:tc>
          <w:tcPr>
            <w:tcW w:type="dxa" w:w="3120"/>
          </w:tcPr>
          <w:p>
            <w:r>
              <w:t>缺少关键证据不得视为通过验收。</w:t>
            </w:r>
          </w:p>
        </w:tc>
      </w:tr>
      <w:tr>
        <w:tc>
          <w:tcPr>
            <w:tcW w:type="dxa" w:w="3120"/>
          </w:tcPr>
          <w:p>
            <w:r>
              <w:t>运维交接</w:t>
            </w:r>
          </w:p>
        </w:tc>
        <w:tc>
          <w:tcPr>
            <w:tcW w:type="dxa" w:w="3120"/>
          </w:tcPr>
          <w:p>
            <w:r>
              <w:t>运行环境、部署方式、监控项、告警联系人、备份恢复和应急预案。</w:t>
            </w:r>
          </w:p>
        </w:tc>
        <w:tc>
          <w:tcPr>
            <w:tcW w:type="dxa" w:w="3120"/>
          </w:tcPr>
          <w:p>
            <w:r>
              <w:t>上线前完成交接签收。</w:t>
            </w:r>
          </w:p>
        </w:tc>
      </w:tr>
      <w:tr>
        <w:tc>
          <w:tcPr>
            <w:tcW w:type="dxa" w:w="3120"/>
          </w:tcPr>
          <w:p>
            <w:r>
              <w:t>后续维护</w:t>
            </w:r>
          </w:p>
        </w:tc>
        <w:tc>
          <w:tcPr>
            <w:tcW w:type="dxa" w:w="3120"/>
          </w:tcPr>
          <w:p>
            <w:r>
              <w:t>新增功能必须补充对应NFR影响评估。</w:t>
            </w:r>
          </w:p>
        </w:tc>
        <w:tc>
          <w:tcPr>
            <w:tcW w:type="dxa" w:w="3120"/>
          </w:tcPr>
          <w:p>
            <w:r>
              <w:t>维护版本保留修订记录。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校务问答机器人 非功能性需求（NFR） V1.3</dc:title>
  <dc:creator/>
  <cp:keywords>V1.3; 校务问答机器人; SRS; DRD; NFR</cp:keywords>
  <dcterms:created xsi:type="dcterms:W3CDTF">2026-05-23T17:21:43Z</dcterms:created>
  <dcterms:modified xsi:type="dcterms:W3CDTF">2026-05-23T17:21:43Z</dcterms:modified>
  <dc:subject>非功能性需求</dc:subject>
  <dc:description>正式版本化文档，版本 V1.3。</dc:description>
  <cp:lastModifiedBy>需求分析团队</cp:lastModifiedBy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