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愿景与范围文档</w:t>
      </w:r>
    </w:p>
    <w:p>
      <w:pPr>
        <w:pStyle w:val="Subtitle"/>
      </w:pPr>
      <w:r>
        <w:t>校务问答机器人 / 智慧校园助手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文档编号</w:t>
            </w:r>
          </w:p>
        </w:tc>
        <w:tc>
          <w:tcPr>
            <w:tcW w:type="dxa" w:w="4320"/>
          </w:tcPr>
          <w:p>
            <w:r>
              <w:t>SRA2026-VS-V1.1</w:t>
            </w:r>
          </w:p>
        </w:tc>
      </w:tr>
      <w:tr>
        <w:tc>
          <w:tcPr>
            <w:tcW w:type="dxa" w:w="4320"/>
          </w:tcPr>
          <w:p>
            <w:r>
              <w:t>版本号</w:t>
            </w:r>
          </w:p>
        </w:tc>
        <w:tc>
          <w:tcPr>
            <w:tcW w:type="dxa" w:w="4320"/>
          </w:tcPr>
          <w:p>
            <w:r>
              <w:t>V1.1</w:t>
            </w:r>
          </w:p>
        </w:tc>
      </w:tr>
      <w:tr>
        <w:tc>
          <w:tcPr>
            <w:tcW w:type="dxa" w:w="4320"/>
          </w:tcPr>
          <w:p>
            <w:r>
              <w:t>状态</w:t>
            </w:r>
          </w:p>
        </w:tc>
        <w:tc>
          <w:tcPr>
            <w:tcW w:type="dxa" w:w="4320"/>
          </w:tcPr>
          <w:p>
            <w:r>
              <w:t>修订稿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>
              <w:t>2026-05-10</w:t>
            </w:r>
          </w:p>
        </w:tc>
      </w:tr>
      <w:tr>
        <w:tc>
          <w:tcPr>
            <w:tcW w:type="dxa" w:w="4320"/>
          </w:tcPr>
          <w:p>
            <w:r>
              <w:t>项目组</w:t>
            </w:r>
          </w:p>
        </w:tc>
        <w:tc>
          <w:tcPr>
            <w:tcW w:type="dxa" w:w="4320"/>
          </w:tcPr>
          <w:p>
            <w:r>
              <w:t>SRA2026-G10</w:t>
            </w:r>
          </w:p>
        </w:tc>
      </w:tr>
      <w:tr>
        <w:tc>
          <w:tcPr>
            <w:tcW w:type="dxa" w:w="4320"/>
          </w:tcPr>
          <w:p>
            <w:r>
              <w:t>适用基线</w:t>
            </w:r>
          </w:p>
        </w:tc>
        <w:tc>
          <w:tcPr>
            <w:tcW w:type="dxa" w:w="4320"/>
          </w:tcPr>
          <w:p>
            <w:r>
              <w:t>SRS-BASELINE-V1.0</w:t>
            </w:r>
          </w:p>
        </w:tc>
      </w:tr>
      <w:tr>
        <w:tc>
          <w:tcPr>
            <w:tcW w:type="dxa" w:w="4320"/>
          </w:tcPr>
          <w:p>
            <w:r>
              <w:t>统一口径</w:t>
            </w:r>
          </w:p>
        </w:tc>
        <w:tc>
          <w:tcPr>
            <w:tcW w:type="dxa" w:w="4320"/>
          </w:tcPr>
          <w:p>
            <w:r>
              <w:t>40条需求、47个用例、78条测试用例、16项变更</w:t>
            </w:r>
          </w:p>
        </w:tc>
      </w:tr>
      <w:tr>
        <w:tc>
          <w:tcPr>
            <w:tcW w:type="dxa" w:w="4320"/>
          </w:tcPr>
          <w:p>
            <w:r>
              <w:t>适用范围</w:t>
            </w:r>
          </w:p>
        </w:tc>
        <w:tc>
          <w:tcPr>
            <w:tcW w:type="dxa" w:w="4320"/>
          </w:tcPr>
          <w:p>
            <w:r>
              <w:t>Vision and Scope 正式版本链</w:t>
            </w:r>
          </w:p>
        </w:tc>
      </w:tr>
    </w:tbl>
    <w:p>
      <w:pPr>
        <w:pStyle w:val="Heading1"/>
      </w:pPr>
      <w:r>
        <w:t>版本修订记录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版本</w:t>
            </w:r>
          </w:p>
        </w:tc>
        <w:tc>
          <w:tcPr>
            <w:tcW w:type="dxa" w:w="2880"/>
          </w:tcPr>
          <w:p>
            <w:r>
              <w:t>日期</w:t>
            </w:r>
          </w:p>
        </w:tc>
        <w:tc>
          <w:tcPr>
            <w:tcW w:type="dxa" w:w="2880"/>
          </w:tcPr>
          <w:p>
            <w:r>
              <w:t>修订说明</w:t>
            </w:r>
          </w:p>
        </w:tc>
      </w:tr>
      <w:tr>
        <w:tc>
          <w:tcPr>
            <w:tcW w:type="dxa" w:w="2880"/>
          </w:tcPr>
          <w:p>
            <w:r>
              <w:t>V1.0</w:t>
            </w:r>
          </w:p>
        </w:tc>
        <w:tc>
          <w:tcPr>
            <w:tcW w:type="dxa" w:w="2880"/>
          </w:tcPr>
          <w:p>
            <w:r>
              <w:t>2026-04-21</w:t>
            </w:r>
          </w:p>
        </w:tc>
        <w:tc>
          <w:tcPr>
            <w:tcW w:type="dxa" w:w="2880"/>
          </w:tcPr>
          <w:p>
            <w:r>
              <w:t>历史基线，明确课程项目初始愿景和范围。</w:t>
            </w:r>
          </w:p>
        </w:tc>
      </w:tr>
      <w:tr>
        <w:tc>
          <w:tcPr>
            <w:tcW w:type="dxa" w:w="2880"/>
          </w:tcPr>
          <w:p>
            <w:r>
              <w:t>V1.1</w:t>
            </w:r>
          </w:p>
        </w:tc>
        <w:tc>
          <w:tcPr>
            <w:tcW w:type="dxa" w:w="2880"/>
          </w:tcPr>
          <w:p>
            <w:r>
              <w:t>2026-04-28</w:t>
            </w:r>
          </w:p>
        </w:tc>
        <w:tc>
          <w:tcPr>
            <w:tcW w:type="dxa" w:w="2880"/>
          </w:tcPr>
          <w:p>
            <w:r>
              <w:t>补充痛点、干系人、业务价值和 MVP 范围。</w:t>
            </w:r>
          </w:p>
        </w:tc>
      </w:tr>
      <w:tr>
        <w:tc>
          <w:tcPr>
            <w:tcW w:type="dxa" w:w="2880"/>
          </w:tcPr>
          <w:p>
            <w:r>
              <w:t>V1.2</w:t>
            </w:r>
          </w:p>
        </w:tc>
        <w:tc>
          <w:tcPr>
            <w:tcW w:type="dxa" w:w="2880"/>
          </w:tcPr>
          <w:p>
            <w:r>
              <w:t>2026-05-04</w:t>
            </w:r>
          </w:p>
        </w:tc>
        <w:tc>
          <w:tcPr>
            <w:tcW w:type="dxa" w:w="2880"/>
          </w:tcPr>
          <w:p>
            <w:r>
              <w:t>补充 MoSCoW、KPI、风险、约束和预算口径。</w:t>
            </w:r>
          </w:p>
        </w:tc>
      </w:tr>
      <w:tr>
        <w:tc>
          <w:tcPr>
            <w:tcW w:type="dxa" w:w="2880"/>
          </w:tcPr>
          <w:p>
            <w:r>
              <w:t>V1.3</w:t>
            </w:r>
          </w:p>
        </w:tc>
        <w:tc>
          <w:tcPr>
            <w:tcW w:type="dxa" w:w="2880"/>
          </w:tcPr>
          <w:p>
            <w:r>
              <w:t>2026-05-10</w:t>
            </w:r>
          </w:p>
        </w:tc>
        <w:tc>
          <w:tcPr>
            <w:tcW w:type="dxa" w:w="2880"/>
          </w:tcPr>
          <w:p>
            <w:r>
              <w:t>对齐系统上下文图、外部接口和安全边界，形成定稿。</w:t>
            </w:r>
          </w:p>
        </w:tc>
      </w:tr>
    </w:tbl>
    <w:p>
      <w:pPr>
        <w:pStyle w:val="Heading1"/>
      </w:pPr>
      <w:r>
        <w:t>范围口径</w:t>
      </w:r>
    </w:p>
    <w:p>
      <w:r>
        <w:t>MVP 聚焦智能问答、知识库维护、反馈和历史记录；不承诺生产上线。</w:t>
      </w:r>
    </w:p>
    <w:p>
      <w:r>
        <w:t>本期交付是课程需求工程与原型验证，不是生产级系统上线。</w:t>
      </w:r>
    </w:p>
    <w:p>
      <w:r>
        <w:t>后续版本可考虑微信公众号、家长端、访客端和更深层校务系统集成。</w:t>
      </w:r>
    </w:p>
    <w:p>
      <w:pPr>
        <w:pStyle w:val="Heading1"/>
      </w:pPr>
      <w:r>
        <w:t>系统边界</w:t>
      </w:r>
    </w:p>
    <w:p>
      <w:r>
        <w:t>系统内：问答入口、知识库检索、答案展示、反馈记录、后台维护、统计查看。</w:t>
      </w:r>
    </w:p>
    <w:p>
      <w:r>
        <w:t>系统外：教务系统、OA、一卡通、门禁、短信/通知服务、真实 CAS 生产账号。</w:t>
      </w:r>
    </w:p>
    <w:p>
      <w:r>
        <w:t>所有外部系统在原型阶段使用模拟数据或公开信息，不进行真实写入。</w:t>
      </w:r>
    </w:p>
    <w:p>
      <w:pPr>
        <w:pStyle w:val="Heading1"/>
      </w:pPr>
      <w:r>
        <w:t>追踪矩阵</w:t>
      </w:r>
    </w:p>
    <w:p>
      <w:r>
        <w:t>业务目标：降低重复咨询 -&gt; 范围项：智能问答 -&gt; 接口：用户提问/答案返回 -&gt; KPI：P95 响应不超过 3 秒。</w:t>
      </w:r>
    </w:p>
    <w:p>
      <w:r>
        <w:t>业务目标：保证答案可维护 -&gt; 范围项：知识库维护 -&gt; 接口：知识条目管理 -&gt; KPI：更新记录可追溯。</w:t>
      </w:r>
    </w:p>
    <w:p>
      <w:r>
        <w:t>业务目标：形成闭环 -&gt; 范围项：反馈与统计 -&gt; 接口：反馈提交/统计查询 -&gt; KPI：反馈处理状态可查。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