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课程大作业评审检查表</w:t>
      </w:r>
    </w:p>
    <w:p>
      <w:pPr>
        <w:pStyle w:val="Subtitle"/>
      </w:pPr>
      <w:r>
        <w:t>校务问答机器人 / 智慧校园助手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文档编号</w:t>
            </w:r>
          </w:p>
        </w:tc>
        <w:tc>
          <w:tcPr>
            <w:tcW w:type="dxa" w:w="4320"/>
          </w:tcPr>
          <w:p>
            <w:r>
              <w:t>SRA2026-CHK-V1.1</w:t>
            </w:r>
          </w:p>
        </w:tc>
      </w:tr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V1.1</w:t>
            </w:r>
          </w:p>
        </w:tc>
      </w:tr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修订稿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2026-05-23</w:t>
            </w:r>
          </w:p>
        </w:tc>
      </w:tr>
      <w:tr>
        <w:tc>
          <w:tcPr>
            <w:tcW w:type="dxa" w:w="4320"/>
          </w:tcPr>
          <w:p>
            <w:r>
              <w:t>项目组</w:t>
            </w:r>
          </w:p>
        </w:tc>
        <w:tc>
          <w:tcPr>
            <w:tcW w:type="dxa" w:w="4320"/>
          </w:tcPr>
          <w:p>
            <w:r>
              <w:t>SRA2026-G10</w:t>
            </w:r>
          </w:p>
        </w:tc>
      </w:tr>
      <w:tr>
        <w:tc>
          <w:tcPr>
            <w:tcW w:type="dxa" w:w="4320"/>
          </w:tcPr>
          <w:p>
            <w:r>
              <w:t>适用基线</w:t>
            </w:r>
          </w:p>
        </w:tc>
        <w:tc>
          <w:tcPr>
            <w:tcW w:type="dxa" w:w="4320"/>
          </w:tcPr>
          <w:p>
            <w:r>
              <w:t>SRS-BASELINE-V1.0</w:t>
            </w:r>
          </w:p>
        </w:tc>
      </w:tr>
      <w:tr>
        <w:tc>
          <w:tcPr>
            <w:tcW w:type="dxa" w:w="4320"/>
          </w:tcPr>
          <w:p>
            <w:r>
              <w:t>统一口径</w:t>
            </w:r>
          </w:p>
        </w:tc>
        <w:tc>
          <w:tcPr>
            <w:tcW w:type="dxa" w:w="4320"/>
          </w:tcPr>
          <w:p>
            <w:r>
              <w:t>40条需求、47个用例、78条测试用例、16项变更</w:t>
            </w:r>
          </w:p>
        </w:tc>
      </w:tr>
      <w:tr>
        <w:tc>
          <w:tcPr>
            <w:tcW w:type="dxa" w:w="4320"/>
          </w:tcPr>
          <w:p>
            <w:r>
              <w:t>适用范围</w:t>
            </w:r>
          </w:p>
        </w:tc>
        <w:tc>
          <w:tcPr>
            <w:tcW w:type="dxa" w:w="4320"/>
          </w:tcPr>
          <w:p>
            <w:r>
              <w:t>需求变更与 CCB 管理</w:t>
            </w:r>
          </w:p>
        </w:tc>
      </w:tr>
    </w:tbl>
    <w:p>
      <w:pPr>
        <w:pStyle w:val="Heading1"/>
      </w:pPr>
      <w:r>
        <w:t>版本修订记录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版本</w:t>
            </w:r>
          </w:p>
        </w:tc>
        <w:tc>
          <w:tcPr>
            <w:tcW w:type="dxa" w:w="2880"/>
          </w:tcPr>
          <w:p>
            <w:r>
              <w:t>日期</w:t>
            </w:r>
          </w:p>
        </w:tc>
        <w:tc>
          <w:tcPr>
            <w:tcW w:type="dxa" w:w="2880"/>
          </w:tcPr>
          <w:p>
            <w:r>
              <w:t>修订说明</w:t>
            </w:r>
          </w:p>
        </w:tc>
      </w:tr>
      <w:tr>
        <w:tc>
          <w:tcPr>
            <w:tcW w:type="dxa" w:w="2880"/>
          </w:tcPr>
          <w:p>
            <w:r>
              <w:t>V1.0</w:t>
            </w:r>
          </w:p>
        </w:tc>
        <w:tc>
          <w:tcPr>
            <w:tcW w:type="dxa" w:w="2880"/>
          </w:tcPr>
          <w:p>
            <w:r>
              <w:t>2026-05-20</w:t>
            </w:r>
          </w:p>
        </w:tc>
        <w:tc>
          <w:tcPr>
            <w:tcW w:type="dxa" w:w="2880"/>
          </w:tcPr>
          <w:p>
            <w:r>
              <w:t>建立变更控制和评审检查初稿。</w:t>
            </w:r>
          </w:p>
        </w:tc>
      </w:tr>
      <w:tr>
        <w:tc>
          <w:tcPr>
            <w:tcW w:type="dxa" w:w="2880"/>
          </w:tcPr>
          <w:p>
            <w:r>
              <w:t>V1.1</w:t>
            </w:r>
          </w:p>
        </w:tc>
        <w:tc>
          <w:tcPr>
            <w:tcW w:type="dxa" w:w="2880"/>
          </w:tcPr>
          <w:p>
            <w:r>
              <w:t>2026-05-21</w:t>
            </w:r>
          </w:p>
        </w:tc>
        <w:tc>
          <w:tcPr>
            <w:tcW w:type="dxa" w:w="2880"/>
          </w:tcPr>
          <w:p>
            <w:r>
              <w:t>补充变更申请、影响分析和评审责任人。</w:t>
            </w:r>
          </w:p>
        </w:tc>
      </w:tr>
      <w:tr>
        <w:tc>
          <w:tcPr>
            <w:tcW w:type="dxa" w:w="2880"/>
          </w:tcPr>
          <w:p>
            <w:r>
              <w:t>V1.2</w:t>
            </w:r>
          </w:p>
        </w:tc>
        <w:tc>
          <w:tcPr>
            <w:tcW w:type="dxa" w:w="2880"/>
          </w:tcPr>
          <w:p>
            <w:r>
              <w:t>2026-05-22</w:t>
            </w:r>
          </w:p>
        </w:tc>
        <w:tc>
          <w:tcPr>
            <w:tcW w:type="dxa" w:w="2880"/>
          </w:tcPr>
          <w:p>
            <w:r>
              <w:t>补充整改跟踪、优先级和基线兼容性。</w:t>
            </w:r>
          </w:p>
        </w:tc>
      </w:tr>
      <w:tr>
        <w:tc>
          <w:tcPr>
            <w:tcW w:type="dxa" w:w="2880"/>
          </w:tcPr>
          <w:p>
            <w:r>
              <w:t>V1.3</w:t>
            </w:r>
          </w:p>
        </w:tc>
        <w:tc>
          <w:tcPr>
            <w:tcW w:type="dxa" w:w="2880"/>
          </w:tcPr>
          <w:p>
            <w:r>
              <w:t>2026-05-23</w:t>
            </w:r>
          </w:p>
        </w:tc>
        <w:tc>
          <w:tcPr>
            <w:tcW w:type="dxa" w:w="2880"/>
          </w:tcPr>
          <w:p>
            <w:r>
              <w:t>形成最终基线发布材料。</w:t>
            </w:r>
          </w:p>
        </w:tc>
      </w:tr>
    </w:tbl>
    <w:p>
      <w:pPr>
        <w:pStyle w:val="Heading1"/>
      </w:pPr>
      <w:r>
        <w:t>统一口径</w:t>
      </w:r>
    </w:p>
    <w:p>
      <w:r>
        <w:t>适用基线为 SRS-BASELINE-V1.0，需求变更共 16 项，均已完成审批、实施和验证。</w:t>
      </w:r>
    </w:p>
    <w:p>
      <w:r>
        <w:t>需求数量统一为 40 条可追溯业务需求、47 个用例、78 条测试用例。</w:t>
      </w:r>
    </w:p>
    <w:p>
      <w:r>
        <w:t>可用率目标统一为 99.5%，不再使用 99.5% 生产承诺口径。</w:t>
      </w:r>
    </w:p>
    <w:p>
      <w:r>
        <w:t>用户代表口径统一为核心代表+扩展代表。</w:t>
      </w:r>
    </w:p>
    <w:p>
      <w:pPr>
        <w:pStyle w:val="Heading1"/>
      </w:pPr>
      <w:r>
        <w:t>版本内容</w:t>
      </w:r>
    </w:p>
    <w:p>
      <w:r>
        <w:t>V1.0 建立基本流程和检查框架。</w:t>
      </w:r>
    </w:p>
    <w:p>
      <w:r>
        <w:t>V1.1 增加变更申请和影响分析。</w:t>
      </w:r>
    </w:p>
    <w:p>
      <w:r>
        <w:t>V1.2 增加整改跟踪与基线兼容判断。</w:t>
      </w:r>
    </w:p>
    <w:p>
      <w:r>
        <w:t>V1.3 汇总最终决议、基线发布和归档说明。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