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接口设计说明书(IDD)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元信息项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t>文档编号</w:t>
            </w:r>
          </w:p>
        </w:tc>
        <w:tc>
          <w:tcPr>
            <w:tcW w:type="dxa" w:w="5040"/>
            <w:vAlign w:val="center"/>
          </w:tcPr>
          <w:p>
            <w:r>
              <w:t>IDD-SCHOOL-QA-001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</w:t>
            </w:r>
          </w:p>
        </w:tc>
        <w:tc>
          <w:tcPr>
            <w:tcW w:type="dxa" w:w="5040"/>
            <w:vAlign w:val="center"/>
          </w:tcPr>
          <w:p>
            <w:r>
              <w:t>V1.2</w:t>
            </w:r>
          </w:p>
        </w:tc>
      </w:tr>
      <w:tr>
        <w:tc>
          <w:tcPr>
            <w:tcW w:type="dxa" w:w="5040"/>
            <w:vAlign w:val="center"/>
          </w:tcPr>
          <w:p>
            <w:r>
              <w:t>状态</w:t>
            </w:r>
          </w:p>
        </w:tc>
        <w:tc>
          <w:tcPr>
            <w:tcW w:type="dxa" w:w="5040"/>
            <w:vAlign w:val="center"/>
          </w:tcPr>
          <w:p>
            <w:r>
              <w:t>安全与约束完善稿</w:t>
            </w:r>
          </w:p>
        </w:tc>
      </w:tr>
      <w:tr>
        <w:tc>
          <w:tcPr>
            <w:tcW w:type="dxa" w:w="5040"/>
            <w:vAlign w:val="center"/>
          </w:tcPr>
          <w:p>
            <w:r>
              <w:t>日期</w:t>
            </w:r>
          </w:p>
        </w:tc>
        <w:tc>
          <w:tcPr>
            <w:tcW w:type="dxa" w:w="5040"/>
            <w:vAlign w:val="center"/>
          </w:tcPr>
          <w:p>
            <w:r>
              <w:t>2026-06-10</w:t>
            </w:r>
          </w:p>
        </w:tc>
      </w:tr>
      <w:tr>
        <w:tc>
          <w:tcPr>
            <w:tcW w:type="dxa" w:w="5040"/>
            <w:vAlign w:val="center"/>
          </w:tcPr>
          <w:p>
            <w:r>
              <w:t>上游</w:t>
            </w:r>
          </w:p>
        </w:tc>
        <w:tc>
          <w:tcPr>
            <w:tcW w:type="dxa" w:w="5040"/>
            <w:vAlign w:val="center"/>
          </w:tcPr>
          <w:p>
            <w:r>
              <w:t>软件需求规格说明书(SRS) V1.3；系统概要设计说明书(SSDD) V1.3；数据库设计说明书(DBDD) V1.3</w:t>
            </w:r>
          </w:p>
        </w:tc>
      </w:tr>
      <w:tr>
        <w:tc>
          <w:tcPr>
            <w:tcW w:type="dxa" w:w="5040"/>
            <w:vAlign w:val="center"/>
          </w:tcPr>
          <w:p>
            <w:r>
              <w:t>下游</w:t>
            </w:r>
          </w:p>
        </w:tc>
        <w:tc>
          <w:tcPr>
            <w:tcW w:type="dxa" w:w="5040"/>
            <w:vAlign w:val="center"/>
          </w:tcPr>
          <w:p>
            <w:r>
              <w:t>详细设计说明书(DDD)；前后端联调用例；接口自动化测试；OpenAPI定义</w:t>
            </w:r>
          </w:p>
        </w:tc>
      </w:tr>
      <w:tr>
        <w:tc>
          <w:tcPr>
            <w:tcW w:type="dxa" w:w="5040"/>
            <w:vAlign w:val="center"/>
          </w:tcPr>
          <w:p>
            <w:r>
              <w:t>版本关系</w:t>
            </w:r>
          </w:p>
        </w:tc>
        <w:tc>
          <w:tcPr>
            <w:tcW w:type="dxa" w:w="5040"/>
            <w:vAlign w:val="center"/>
          </w:tcPr>
          <w:p>
            <w:r>
              <w:t>原始交付文件 接口设计说明书(IDD).docx 对应 V1.2；独立版本文件用于版本审计。</w:t>
            </w:r>
          </w:p>
        </w:tc>
      </w:tr>
    </w:tbl>
    <w:p/>
    <w:p>
      <w:pPr>
        <w:pStyle w:val="Heading1"/>
      </w:pPr>
      <w: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主要变更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V1.0</w:t>
            </w:r>
          </w:p>
        </w:tc>
        <w:tc>
          <w:tcPr>
            <w:tcW w:type="dxa" w:w="2520"/>
            <w:vAlign w:val="center"/>
          </w:tcPr>
          <w:p>
            <w:r>
              <w:t>2026-05-24</w:t>
            </w:r>
          </w:p>
        </w:tc>
        <w:tc>
          <w:tcPr>
            <w:tcW w:type="dxa" w:w="2520"/>
            <w:vAlign w:val="center"/>
          </w:tcPr>
          <w:p>
            <w:r>
              <w:t>初稿</w:t>
            </w:r>
          </w:p>
        </w:tc>
        <w:tc>
          <w:tcPr>
            <w:tcW w:type="dxa" w:w="2520"/>
            <w:vAlign w:val="center"/>
          </w:tcPr>
          <w:p>
            <w:r>
              <w:t>建立初始架构、数据、接口和模块边界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V1.1</w:t>
            </w:r>
          </w:p>
        </w:tc>
        <w:tc>
          <w:tcPr>
            <w:tcW w:type="dxa" w:w="2520"/>
            <w:vAlign w:val="center"/>
          </w:tcPr>
          <w:p>
            <w:r>
              <w:t>2026-06-02</w:t>
            </w:r>
          </w:p>
        </w:tc>
        <w:tc>
          <w:tcPr>
            <w:tcW w:type="dxa" w:w="2520"/>
            <w:vAlign w:val="center"/>
          </w:tcPr>
          <w:p>
            <w:r>
              <w:t>SRS对齐稿</w:t>
            </w:r>
          </w:p>
        </w:tc>
        <w:tc>
          <w:tcPr>
            <w:tcW w:type="dxa" w:w="2520"/>
            <w:vAlign w:val="center"/>
          </w:tcPr>
          <w:p>
            <w:r>
              <w:t>按SRS补齐角色、场景、非功能需求和外部系统边界</w:t>
            </w:r>
          </w:p>
        </w:tc>
      </w:tr>
      <w:tr>
        <w:tc>
          <w:tcPr>
            <w:tcW w:type="dxa" w:w="2520"/>
            <w:vAlign w:val="center"/>
          </w:tcPr>
          <w:p>
            <w:r>
              <w:t>V1.2</w:t>
            </w:r>
          </w:p>
        </w:tc>
        <w:tc>
          <w:tcPr>
            <w:tcW w:type="dxa" w:w="2520"/>
            <w:vAlign w:val="center"/>
          </w:tcPr>
          <w:p>
            <w:r>
              <w:t>2026-06-10</w:t>
            </w:r>
          </w:p>
        </w:tc>
        <w:tc>
          <w:tcPr>
            <w:tcW w:type="dxa" w:w="2520"/>
            <w:vAlign w:val="center"/>
          </w:tcPr>
          <w:p>
            <w:r>
              <w:t>安全与约束完善稿</w:t>
            </w:r>
          </w:p>
        </w:tc>
        <w:tc>
          <w:tcPr>
            <w:tcW w:type="dxa" w:w="2520"/>
            <w:vAlign w:val="center"/>
          </w:tcPr>
          <w:p>
            <w:r>
              <w:t>补充安全、异常、数据约束、限流、审计和降级策略</w:t>
            </w:r>
          </w:p>
        </w:tc>
      </w:tr>
    </w:tbl>
    <w:p/>
    <w:p>
      <w:pPr>
        <w:pStyle w:val="Heading1"/>
      </w:pPr>
      <w:r>
        <w:t>1. 接口概述</w:t>
      </w:r>
    </w:p>
    <w:p>
      <w:r>
        <w:t>接口采用REST + JSON为主，SSE用于流式问答，WebSocket用于实时提醒。所有路径以 /school-qa/v1 或 /school-qa/admin/v1 为基线前缀，由Spring Cloud Gateway统一接入。OpenAPI 3.0作为接口描述格式。</w:t>
      </w:r>
    </w:p>
    <w:p>
      <w:pPr>
        <w:pStyle w:val="Heading1"/>
      </w:pPr>
      <w:r>
        <w:t>统一技术栈</w:t>
      </w:r>
    </w:p>
    <w:p>
      <w:r>
        <w:t>本项目所有设计文档采用同一技术口径：Java业务服务承担认证、用户、对话、知识库、管理和统计等稳定业务能力；Python FastAPI仅作为NLU/Embedding模型服务；数据库以MySQL为结构化主库，Redis、Elasticsearch、Milvus和MinIO分别承担缓存、全文检索、向量检索和对象存储。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3360"/>
            <w:vAlign w:val="center"/>
          </w:tcPr>
          <w:p>
            <w:r>
              <w:t>用户端</w:t>
            </w:r>
          </w:p>
        </w:tc>
        <w:tc>
          <w:tcPr>
            <w:tcW w:type="dxa" w:w="3360"/>
            <w:vAlign w:val="center"/>
          </w:tcPr>
          <w:p>
            <w:r>
              <w:t>uni-app + Vue 3 + TypeScript + Vant/uni-ui</w:t>
            </w:r>
          </w:p>
        </w:tc>
        <w:tc>
          <w:tcPr>
            <w:tcW w:type="dxa" w:w="3360"/>
            <w:vAlign w:val="center"/>
          </w:tcPr>
          <w:p>
            <w:r>
              <w:t>H5与微信小程序统一实现，调用 /school-qa/v1 API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管理端</w:t>
            </w:r>
          </w:p>
        </w:tc>
        <w:tc>
          <w:tcPr>
            <w:tcW w:type="dxa" w:w="3360"/>
            <w:vAlign w:val="center"/>
          </w:tcPr>
          <w:p>
            <w:r>
              <w:t>React 18 + TypeScript + Ant Design Pro</w:t>
            </w:r>
          </w:p>
        </w:tc>
        <w:tc>
          <w:tcPr>
            <w:tcW w:type="dxa" w:w="3360"/>
            <w:vAlign w:val="center"/>
          </w:tcPr>
          <w:p>
            <w:r>
              <w:t>知识库、未命中问题、统计与系统配置管理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API网关</w:t>
            </w:r>
          </w:p>
        </w:tc>
        <w:tc>
          <w:tcPr>
            <w:tcW w:type="dxa" w:w="3360"/>
            <w:vAlign w:val="center"/>
          </w:tcPr>
          <w:p>
            <w:r>
              <w:t>Spring Cloud Gateway</w:t>
            </w:r>
          </w:p>
        </w:tc>
        <w:tc>
          <w:tcPr>
            <w:tcW w:type="dxa" w:w="3360"/>
            <w:vAlign w:val="center"/>
          </w:tcPr>
          <w:p>
            <w:r>
              <w:t>统一路由、鉴权前置、限流、Trace ID注入</w:t>
            </w:r>
          </w:p>
        </w:tc>
      </w:tr>
      <w:tr>
        <w:tc>
          <w:tcPr>
            <w:tcW w:type="dxa" w:w="3360"/>
            <w:vAlign w:val="center"/>
          </w:tcPr>
          <w:p>
            <w:r>
              <w:t>业务服务</w:t>
            </w:r>
          </w:p>
        </w:tc>
        <w:tc>
          <w:tcPr>
            <w:tcW w:type="dxa" w:w="3360"/>
            <w:vAlign w:val="center"/>
          </w:tcPr>
          <w:p>
            <w:r>
              <w:t>Java 17 + Spring Boot 3.x</w:t>
            </w:r>
          </w:p>
        </w:tc>
        <w:tc>
          <w:tcPr>
            <w:tcW w:type="dxa" w:w="3360"/>
            <w:vAlign w:val="center"/>
          </w:tcPr>
          <w:p>
            <w:r>
              <w:t>认证、用户、对话、知识库、管理、统计等核心业务</w:t>
            </w:r>
          </w:p>
        </w:tc>
      </w:tr>
      <w:tr>
        <w:tc>
          <w:tcPr>
            <w:tcW w:type="dxa" w:w="3360"/>
            <w:vAlign w:val="center"/>
          </w:tcPr>
          <w:p>
            <w:r>
              <w:t>NLU服务</w:t>
            </w:r>
          </w:p>
        </w:tc>
        <w:tc>
          <w:tcPr>
            <w:tcW w:type="dxa" w:w="3360"/>
            <w:vAlign w:val="center"/>
          </w:tcPr>
          <w:p>
            <w:r>
              <w:t>Python 3.10 + FastAPI + PyTorch/Transformers</w:t>
            </w:r>
          </w:p>
        </w:tc>
        <w:tc>
          <w:tcPr>
            <w:tcW w:type="dxa" w:w="3360"/>
            <w:vAlign w:val="center"/>
          </w:tcPr>
          <w:p>
            <w:r>
              <w:t>意图识别、实体抽取、Embedding生成，通过内部REST调用</w:t>
            </w:r>
          </w:p>
        </w:tc>
      </w:tr>
      <w:tr>
        <w:tc>
          <w:tcPr>
            <w:tcW w:type="dxa" w:w="3360"/>
            <w:vAlign w:val="center"/>
          </w:tcPr>
          <w:p>
            <w:r>
              <w:t>数据存储</w:t>
            </w:r>
          </w:p>
        </w:tc>
        <w:tc>
          <w:tcPr>
            <w:tcW w:type="dxa" w:w="3360"/>
            <w:vAlign w:val="center"/>
          </w:tcPr>
          <w:p>
            <w:r>
              <w:t>MySQL 8.0.33 + Redis 7.2 + Elasticsearch 8.11 + Milvus 2.3 + MinIO</w:t>
            </w:r>
          </w:p>
        </w:tc>
        <w:tc>
          <w:tcPr>
            <w:tcW w:type="dxa" w:w="3360"/>
            <w:vAlign w:val="center"/>
          </w:tcPr>
          <w:p>
            <w:r>
              <w:t>结构化数据、缓存、全文检索、向量检索与附件存储</w:t>
            </w:r>
          </w:p>
        </w:tc>
      </w:tr>
      <w:tr>
        <w:tc>
          <w:tcPr>
            <w:tcW w:type="dxa" w:w="3360"/>
            <w:vAlign w:val="center"/>
          </w:tcPr>
          <w:p>
            <w:r>
              <w:t>交付与运行</w:t>
            </w:r>
          </w:p>
        </w:tc>
        <w:tc>
          <w:tcPr>
            <w:tcW w:type="dxa" w:w="3360"/>
            <w:vAlign w:val="center"/>
          </w:tcPr>
          <w:p>
            <w:r>
              <w:t>Docker + Kubernetes + Prometheus/Grafana</w:t>
            </w:r>
          </w:p>
        </w:tc>
        <w:tc>
          <w:tcPr>
            <w:tcW w:type="dxa" w:w="3360"/>
            <w:vAlign w:val="center"/>
          </w:tcPr>
          <w:p>
            <w:r>
              <w:t>容器化部署、弹性伸缩、监控告警</w:t>
            </w:r>
          </w:p>
        </w:tc>
      </w:tr>
    </w:tbl>
    <w:p/>
    <w:p>
      <w:pPr>
        <w:pStyle w:val="Heading1"/>
      </w:pPr>
      <w:r>
        <w:t>接口、数据库与详细设计关系</w:t>
      </w:r>
    </w:p>
    <w:p>
      <w:r>
        <w:t>IDD定义外部和内部接口契约；DBDD定义接口落库与缓存对象；DDD定义实现这些接口的模块、类、流程、事务和异常处理；SSDD约束服务边界和跨模块协作。四类文档以SRS为共同上游，不再出现单体FastAPI或SQLite作为正式生产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路径/范围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与数据和模块的关系</w:t>
            </w:r>
          </w:p>
        </w:tc>
      </w:tr>
      <w:tr>
        <w:tc>
          <w:tcPr>
            <w:tcW w:type="dxa" w:w="3360"/>
            <w:vAlign w:val="center"/>
          </w:tcPr>
          <w:p>
            <w:r>
              <w:t>外部REST</w:t>
            </w:r>
          </w:p>
        </w:tc>
        <w:tc>
          <w:tcPr>
            <w:tcW w:type="dxa" w:w="3360"/>
            <w:vAlign w:val="center"/>
          </w:tcPr>
          <w:p>
            <w:r>
              <w:t>/school-qa/v1</w:t>
            </w:r>
          </w:p>
        </w:tc>
        <w:tc>
          <w:tcPr>
            <w:tcW w:type="dxa" w:w="3360"/>
            <w:vAlign w:val="center"/>
          </w:tcPr>
          <w:p>
            <w:r>
              <w:t>用户端接口：认证、问答、课程考试成绩查询、反馈与建议问题</w:t>
            </w:r>
          </w:p>
        </w:tc>
      </w:tr>
      <w:tr>
        <w:tc>
          <w:tcPr>
            <w:tcW w:type="dxa" w:w="3360"/>
            <w:vAlign w:val="center"/>
          </w:tcPr>
          <w:p>
            <w:r>
              <w:t>管理REST</w:t>
            </w:r>
          </w:p>
        </w:tc>
        <w:tc>
          <w:tcPr>
            <w:tcW w:type="dxa" w:w="3360"/>
            <w:vAlign w:val="center"/>
          </w:tcPr>
          <w:p>
            <w:r>
              <w:t>/school-qa/admin/v1</w:t>
            </w:r>
          </w:p>
        </w:tc>
        <w:tc>
          <w:tcPr>
            <w:tcW w:type="dxa" w:w="3360"/>
            <w:vAlign w:val="center"/>
          </w:tcPr>
          <w:p>
            <w:r>
              <w:t>管理端接口：知识库、分类、未命中、敏感词、统计、配置</w:t>
            </w:r>
          </w:p>
        </w:tc>
      </w:tr>
      <w:tr>
        <w:tc>
          <w:tcPr>
            <w:tcW w:type="dxa" w:w="3360"/>
            <w:vAlign w:val="center"/>
          </w:tcPr>
          <w:p>
            <w:r>
              <w:t>流式响应</w:t>
            </w:r>
          </w:p>
        </w:tc>
        <w:tc>
          <w:tcPr>
            <w:tcW w:type="dxa" w:w="3360"/>
            <w:vAlign w:val="center"/>
          </w:tcPr>
          <w:p>
            <w:r>
              <w:t>/school-qa/v1/chat/messages/stream</w:t>
            </w:r>
          </w:p>
        </w:tc>
        <w:tc>
          <w:tcPr>
            <w:tcW w:type="dxa" w:w="3360"/>
            <w:vAlign w:val="center"/>
          </w:tcPr>
          <w:p>
            <w:r>
              <w:t>SSE返回问答生成过程和最终答案</w:t>
            </w:r>
          </w:p>
        </w:tc>
      </w:tr>
      <w:tr>
        <w:tc>
          <w:tcPr>
            <w:tcW w:type="dxa" w:w="3360"/>
            <w:vAlign w:val="center"/>
          </w:tcPr>
          <w:p>
            <w:r>
              <w:t>实时通道</w:t>
            </w:r>
          </w:p>
        </w:tc>
        <w:tc>
          <w:tcPr>
            <w:tcW w:type="dxa" w:w="3360"/>
            <w:vAlign w:val="center"/>
          </w:tcPr>
          <w:p>
            <w:r>
              <w:t>/school-qa/ws/chat</w:t>
            </w:r>
          </w:p>
        </w:tc>
        <w:tc>
          <w:tcPr>
            <w:tcW w:type="dxa" w:w="3360"/>
            <w:vAlign w:val="center"/>
          </w:tcPr>
          <w:p>
            <w:r>
              <w:t>WebSocket推送输入中状态、消息和考试提醒</w:t>
            </w:r>
          </w:p>
        </w:tc>
      </w:tr>
      <w:tr>
        <w:tc>
          <w:tcPr>
            <w:tcW w:type="dxa" w:w="3360"/>
            <w:vAlign w:val="center"/>
          </w:tcPr>
          <w:p>
            <w:r>
              <w:t>内部服务</w:t>
            </w:r>
          </w:p>
        </w:tc>
        <w:tc>
          <w:tcPr>
            <w:tcW w:type="dxa" w:w="3360"/>
            <w:vAlign w:val="center"/>
          </w:tcPr>
          <w:p>
            <w:r>
              <w:t>/internal/nlu/*</w:t>
            </w:r>
          </w:p>
        </w:tc>
        <w:tc>
          <w:tcPr>
            <w:tcW w:type="dxa" w:w="3360"/>
            <w:vAlign w:val="center"/>
          </w:tcPr>
          <w:p>
            <w:r>
              <w:t>Java业务服务调用FastAPI NLU服务，不直接暴露给客户端</w:t>
            </w:r>
          </w:p>
        </w:tc>
      </w:tr>
    </w:tbl>
    <w:p/>
    <w:p>
      <w:pPr>
        <w:pStyle w:val="Heading1"/>
      </w:pPr>
      <w:r>
        <w:t>2. 通用规范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约定</w:t>
            </w:r>
          </w:p>
        </w:tc>
      </w:tr>
      <w:tr>
        <w:tc>
          <w:tcPr>
            <w:tcW w:type="dxa" w:w="5040"/>
            <w:vAlign w:val="center"/>
          </w:tcPr>
          <w:p>
            <w:r>
              <w:t>请求头</w:t>
            </w:r>
          </w:p>
        </w:tc>
        <w:tc>
          <w:tcPr>
            <w:tcW w:type="dxa" w:w="5040"/>
            <w:vAlign w:val="center"/>
          </w:tcPr>
          <w:p>
            <w:r>
              <w:t>Content-Type: application/json；Authorization: Bearer {token}；X-Request-Id: {uuid}；X-Client-Type: web|miniprogram|admin</w:t>
            </w:r>
          </w:p>
        </w:tc>
      </w:tr>
      <w:tr>
        <w:tc>
          <w:tcPr>
            <w:tcW w:type="dxa" w:w="5040"/>
            <w:vAlign w:val="center"/>
          </w:tcPr>
          <w:p>
            <w:r>
              <w:t>响应格式</w:t>
            </w:r>
          </w:p>
        </w:tc>
        <w:tc>
          <w:tcPr>
            <w:tcW w:type="dxa" w:w="5040"/>
            <w:vAlign w:val="center"/>
          </w:tcPr>
          <w:p>
            <w:r>
              <w:t>{code, message, data, requestId, timestamp}</w:t>
            </w:r>
          </w:p>
        </w:tc>
      </w:tr>
      <w:tr>
        <w:tc>
          <w:tcPr>
            <w:tcW w:type="dxa" w:w="5040"/>
            <w:vAlign w:val="center"/>
          </w:tcPr>
          <w:p>
            <w:r>
              <w:t>分页格式</w:t>
            </w:r>
          </w:p>
        </w:tc>
        <w:tc>
          <w:tcPr>
            <w:tcW w:type="dxa" w:w="5040"/>
            <w:vAlign w:val="center"/>
          </w:tcPr>
          <w:p>
            <w:r>
              <w:t>data.items + data.pagination(page,pageSize,totalItems,totalPages)</w:t>
            </w:r>
          </w:p>
        </w:tc>
      </w:tr>
      <w:tr>
        <w:tc>
          <w:tcPr>
            <w:tcW w:type="dxa" w:w="5040"/>
            <w:vAlign w:val="center"/>
          </w:tcPr>
          <w:p>
            <w:r>
              <w:t>时间格式</w:t>
            </w:r>
          </w:p>
        </w:tc>
        <w:tc>
          <w:tcPr>
            <w:tcW w:type="dxa" w:w="5040"/>
            <w:vAlign w:val="center"/>
          </w:tcPr>
          <w:p>
            <w:r>
              <w:t>ISO-8601，业务展示使用Asia/Shanghai</w:t>
            </w:r>
          </w:p>
        </w:tc>
      </w:tr>
      <w:tr>
        <w:tc>
          <w:tcPr>
            <w:tcW w:type="dxa" w:w="5040"/>
            <w:vAlign w:val="center"/>
          </w:tcPr>
          <w:p>
            <w:r>
              <w:t>鉴权</w:t>
            </w:r>
          </w:p>
        </w:tc>
        <w:tc>
          <w:tcPr>
            <w:tcW w:type="dxa" w:w="5040"/>
            <w:vAlign w:val="center"/>
          </w:tcPr>
          <w:p>
            <w:r>
              <w:t>公开接口免Token；用户接口需JWT；管理接口需admin/knowledge_manager等角色</w:t>
            </w:r>
          </w:p>
        </w:tc>
      </w:tr>
    </w:tbl>
    <w:p/>
    <w:p>
      <w:r>
        <w:rPr>
          <w:rFonts w:ascii="Consolas" w:hAnsi="Consolas" w:eastAsia="Consolas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{},</w:t>
        <w:br/>
        <w:t xml:space="preserve">  "requestId": "req-xxxx",</w:t>
        <w:br/>
        <w:t xml:space="preserve">  "timestamp": "2026-06-19T10:00:00+08:00"</w:t>
        <w:br/>
        <w:t>}</w:t>
      </w:r>
    </w:p>
    <w:p>
      <w:pPr>
        <w:pStyle w:val="Heading1"/>
      </w:pPr>
      <w:r>
        <w:t>3.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主要数据对象</w:t>
            </w:r>
          </w:p>
        </w:tc>
      </w:tr>
      <w:tr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/auth/cas/login</w:t>
            </w:r>
          </w:p>
        </w:tc>
        <w:tc>
          <w:tcPr>
            <w:tcW w:type="dxa" w:w="2520"/>
            <w:vAlign w:val="center"/>
          </w:tcPr>
          <w:p>
            <w:r>
              <w:t>CAS票据换取JWT</w:t>
            </w:r>
          </w:p>
        </w:tc>
        <w:tc>
          <w:tcPr>
            <w:tcW w:type="dxa" w:w="2520"/>
            <w:vAlign w:val="center"/>
          </w:tcPr>
          <w:p>
            <w:r>
              <w:t>users, students/teachers/parents</w:t>
            </w:r>
          </w:p>
        </w:tc>
      </w:tr>
      <w:tr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/auth/refresh</w:t>
            </w:r>
          </w:p>
        </w:tc>
        <w:tc>
          <w:tcPr>
            <w:tcW w:type="dxa" w:w="2520"/>
            <w:vAlign w:val="center"/>
          </w:tcPr>
          <w:p>
            <w:r>
              <w:t>刷新accessToken和refreshToken</w:t>
            </w:r>
          </w:p>
        </w:tc>
        <w:tc>
          <w:tcPr>
            <w:tcW w:type="dxa" w:w="2520"/>
            <w:vAlign w:val="center"/>
          </w:tcPr>
          <w:p>
            <w:r>
              <w:t>users, audit_logs</w:t>
            </w:r>
          </w:p>
        </w:tc>
      </w:tr>
      <w:tr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/chat/messages</w:t>
            </w:r>
          </w:p>
        </w:tc>
        <w:tc>
          <w:tcPr>
            <w:tcW w:type="dxa" w:w="2520"/>
            <w:vAlign w:val="center"/>
          </w:tcPr>
          <w:p>
            <w:r>
              <w:t>发送非流式问答消息</w:t>
            </w:r>
          </w:p>
        </w:tc>
        <w:tc>
          <w:tcPr>
            <w:tcW w:type="dxa" w:w="2520"/>
            <w:vAlign w:val="center"/>
          </w:tcPr>
          <w:p>
            <w:r>
              <w:t>conversations, messages, intents</w:t>
            </w:r>
          </w:p>
        </w:tc>
      </w:tr>
      <w:tr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/chat/messages/stream</w:t>
            </w:r>
          </w:p>
        </w:tc>
        <w:tc>
          <w:tcPr>
            <w:tcW w:type="dxa" w:w="2520"/>
            <w:vAlign w:val="center"/>
          </w:tcPr>
          <w:p>
            <w:r>
              <w:t>发送SSE流式问答消息</w:t>
            </w:r>
          </w:p>
        </w:tc>
        <w:tc>
          <w:tcPr>
            <w:tcW w:type="dxa" w:w="2520"/>
            <w:vAlign w:val="center"/>
          </w:tcPr>
          <w:p>
            <w:r>
              <w:t>conversations, messages, intents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/chat/conversations</w:t>
            </w:r>
          </w:p>
        </w:tc>
        <w:tc>
          <w:tcPr>
            <w:tcW w:type="dxa" w:w="2520"/>
            <w:vAlign w:val="center"/>
          </w:tcPr>
          <w:p>
            <w:r>
              <w:t>分页查询会话列表</w:t>
            </w:r>
          </w:p>
        </w:tc>
        <w:tc>
          <w:tcPr>
            <w:tcW w:type="dxa" w:w="2520"/>
            <w:vAlign w:val="center"/>
          </w:tcPr>
          <w:p>
            <w:r>
              <w:t>conversations, messages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/chat/conversations/{conversationId}/messages</w:t>
            </w:r>
          </w:p>
        </w:tc>
        <w:tc>
          <w:tcPr>
            <w:tcW w:type="dxa" w:w="2520"/>
            <w:vAlign w:val="center"/>
          </w:tcPr>
          <w:p>
            <w:r>
              <w:t>分页查询会话消息</w:t>
            </w:r>
          </w:p>
        </w:tc>
        <w:tc>
          <w:tcPr>
            <w:tcW w:type="dxa" w:w="2520"/>
            <w:vAlign w:val="center"/>
          </w:tcPr>
          <w:p>
            <w:r>
              <w:t>messages</w:t>
            </w:r>
          </w:p>
        </w:tc>
      </w:tr>
      <w:tr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/chat/messages/{messageId}/feedback</w:t>
            </w:r>
          </w:p>
        </w:tc>
        <w:tc>
          <w:tcPr>
            <w:tcW w:type="dxa" w:w="2520"/>
            <w:vAlign w:val="center"/>
          </w:tcPr>
          <w:p>
            <w:r>
              <w:t>提交满意度反馈</w:t>
            </w:r>
          </w:p>
        </w:tc>
        <w:tc>
          <w:tcPr>
            <w:tcW w:type="dxa" w:w="2520"/>
            <w:vAlign w:val="center"/>
          </w:tcPr>
          <w:p>
            <w:r>
              <w:t>feedbacks, messages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/edu/courses</w:t>
            </w:r>
          </w:p>
        </w:tc>
        <w:tc>
          <w:tcPr>
            <w:tcW w:type="dxa" w:w="2520"/>
            <w:vAlign w:val="center"/>
          </w:tcPr>
          <w:p>
            <w:r>
              <w:t>代理查询课程</w:t>
            </w:r>
          </w:p>
        </w:tc>
        <w:tc>
          <w:tcPr>
            <w:tcW w:type="dxa" w:w="2520"/>
            <w:vAlign w:val="center"/>
          </w:tcPr>
          <w:p>
            <w:r>
              <w:t>external_query_logs, Redis schedule缓存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/edu/exams</w:t>
            </w:r>
          </w:p>
        </w:tc>
        <w:tc>
          <w:tcPr>
            <w:tcW w:type="dxa" w:w="2520"/>
            <w:vAlign w:val="center"/>
          </w:tcPr>
          <w:p>
            <w:r>
              <w:t>代理查询考试</w:t>
            </w:r>
          </w:p>
        </w:tc>
        <w:tc>
          <w:tcPr>
            <w:tcW w:type="dxa" w:w="2520"/>
            <w:vAlign w:val="center"/>
          </w:tcPr>
          <w:p>
            <w:r>
              <w:t>external_query_logs, Redis exam缓存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/edu/grades</w:t>
            </w:r>
          </w:p>
        </w:tc>
        <w:tc>
          <w:tcPr>
            <w:tcW w:type="dxa" w:w="2520"/>
            <w:vAlign w:val="center"/>
          </w:tcPr>
          <w:p>
            <w:r>
              <w:t>代理查询成绩，默认脱敏</w:t>
            </w:r>
          </w:p>
        </w:tc>
        <w:tc>
          <w:tcPr>
            <w:tcW w:type="dxa" w:w="2520"/>
            <w:vAlign w:val="center"/>
          </w:tcPr>
          <w:p>
            <w:r>
              <w:t>external_query_logs, audit_logs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/admin/knowledge-entries</w:t>
            </w:r>
          </w:p>
        </w:tc>
        <w:tc>
          <w:tcPr>
            <w:tcW w:type="dxa" w:w="2520"/>
            <w:vAlign w:val="center"/>
          </w:tcPr>
          <w:p>
            <w:r>
              <w:t>管理端查询知识条目</w:t>
            </w:r>
          </w:p>
        </w:tc>
        <w:tc>
          <w:tcPr>
            <w:tcW w:type="dxa" w:w="2520"/>
            <w:vAlign w:val="center"/>
          </w:tcPr>
          <w:p>
            <w:r>
              <w:t>knowledge_entries, categories</w:t>
            </w:r>
          </w:p>
        </w:tc>
      </w:tr>
      <w:tr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/admin/knowledge-entries</w:t>
            </w:r>
          </w:p>
        </w:tc>
        <w:tc>
          <w:tcPr>
            <w:tcW w:type="dxa" w:w="2520"/>
            <w:vAlign w:val="center"/>
          </w:tcPr>
          <w:p>
            <w:r>
              <w:t>创建知识条目</w:t>
            </w:r>
          </w:p>
        </w:tc>
        <w:tc>
          <w:tcPr>
            <w:tcW w:type="dxa" w:w="2520"/>
            <w:vAlign w:val="center"/>
          </w:tcPr>
          <w:p>
            <w:r>
              <w:t>knowledge_entries, entry_versions, audit_logs</w:t>
            </w:r>
          </w:p>
        </w:tc>
      </w:tr>
      <w:tr>
        <w:tc>
          <w:tcPr>
            <w:tcW w:type="dxa" w:w="2520"/>
            <w:vAlign w:val="center"/>
          </w:tcPr>
          <w:p>
            <w:r>
              <w:t>PUT</w:t>
            </w:r>
          </w:p>
        </w:tc>
        <w:tc>
          <w:tcPr>
            <w:tcW w:type="dxa" w:w="2520"/>
            <w:vAlign w:val="center"/>
          </w:tcPr>
          <w:p>
            <w:r>
              <w:t>/admin/knowledge-entries/{entryId}</w:t>
            </w:r>
          </w:p>
        </w:tc>
        <w:tc>
          <w:tcPr>
            <w:tcW w:type="dxa" w:w="2520"/>
            <w:vAlign w:val="center"/>
          </w:tcPr>
          <w:p>
            <w:r>
              <w:t>更新知识条目并产生版本</w:t>
            </w:r>
          </w:p>
        </w:tc>
        <w:tc>
          <w:tcPr>
            <w:tcW w:type="dxa" w:w="2520"/>
            <w:vAlign w:val="center"/>
          </w:tcPr>
          <w:p>
            <w:r>
              <w:t>knowledge_entries, entry_versions</w:t>
            </w:r>
          </w:p>
        </w:tc>
      </w:tr>
      <w:tr>
        <w:tc>
          <w:tcPr>
            <w:tcW w:type="dxa" w:w="2520"/>
            <w:vAlign w:val="center"/>
          </w:tcPr>
          <w:p>
            <w:r>
              <w:t>DELETE</w:t>
            </w:r>
          </w:p>
        </w:tc>
        <w:tc>
          <w:tcPr>
            <w:tcW w:type="dxa" w:w="2520"/>
            <w:vAlign w:val="center"/>
          </w:tcPr>
          <w:p>
            <w:r>
              <w:t>/admin/knowledge-entries/{entryId}</w:t>
            </w:r>
          </w:p>
        </w:tc>
        <w:tc>
          <w:tcPr>
            <w:tcW w:type="dxa" w:w="2520"/>
            <w:vAlign w:val="center"/>
          </w:tcPr>
          <w:p>
            <w:r>
              <w:t>逻辑删除知识条目</w:t>
            </w:r>
          </w:p>
        </w:tc>
        <w:tc>
          <w:tcPr>
            <w:tcW w:type="dxa" w:w="2520"/>
            <w:vAlign w:val="center"/>
          </w:tcPr>
          <w:p>
            <w:r>
              <w:t>knowledge_entries, audit_logs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/admin/unmatched-queries</w:t>
            </w:r>
          </w:p>
        </w:tc>
        <w:tc>
          <w:tcPr>
            <w:tcW w:type="dxa" w:w="2520"/>
            <w:vAlign w:val="center"/>
          </w:tcPr>
          <w:p>
            <w:r>
              <w:t>查询未命中问题</w:t>
            </w:r>
          </w:p>
        </w:tc>
        <w:tc>
          <w:tcPr>
            <w:tcW w:type="dxa" w:w="2520"/>
            <w:vAlign w:val="center"/>
          </w:tcPr>
          <w:p>
            <w:r>
              <w:t>unmatched_queries</w:t>
            </w:r>
          </w:p>
        </w:tc>
      </w:tr>
      <w:tr>
        <w:tc>
          <w:tcPr>
            <w:tcW w:type="dxa" w:w="2520"/>
            <w:vAlign w:val="center"/>
          </w:tcPr>
          <w:p>
            <w:r>
              <w:t>PUT</w:t>
            </w:r>
          </w:p>
        </w:tc>
        <w:tc>
          <w:tcPr>
            <w:tcW w:type="dxa" w:w="2520"/>
            <w:vAlign w:val="center"/>
          </w:tcPr>
          <w:p>
            <w:r>
              <w:t>/admin/unmatched-queries/{queryId}/resolve</w:t>
            </w:r>
          </w:p>
        </w:tc>
        <w:tc>
          <w:tcPr>
            <w:tcW w:type="dxa" w:w="2520"/>
            <w:vAlign w:val="center"/>
          </w:tcPr>
          <w:p>
            <w:r>
              <w:t>转条目/忽略/合并未命中</w:t>
            </w:r>
          </w:p>
        </w:tc>
        <w:tc>
          <w:tcPr>
            <w:tcW w:type="dxa" w:w="2520"/>
            <w:vAlign w:val="center"/>
          </w:tcPr>
          <w:p>
            <w:r>
              <w:t>unmatched_queries, knowledge_entries</w:t>
            </w:r>
          </w:p>
        </w:tc>
      </w:tr>
      <w:tr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/admin/stats/overview</w:t>
            </w:r>
          </w:p>
        </w:tc>
        <w:tc>
          <w:tcPr>
            <w:tcW w:type="dxa" w:w="2520"/>
            <w:vAlign w:val="center"/>
          </w:tcPr>
          <w:p>
            <w:r>
              <w:t>统计概览</w:t>
            </w:r>
          </w:p>
        </w:tc>
        <w:tc>
          <w:tcPr>
            <w:tcW w:type="dxa" w:w="2520"/>
            <w:vAlign w:val="center"/>
          </w:tcPr>
          <w:p>
            <w:r>
              <w:t>daily_stats, hourly_stats</w:t>
            </w:r>
          </w:p>
        </w:tc>
      </w:tr>
    </w:tbl>
    <w:p/>
    <w:p>
      <w:pPr>
        <w:pStyle w:val="Heading1"/>
      </w:pPr>
      <w:r>
        <w:t>4. SRS接口对齐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SRS场景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接口响应</w:t>
            </w:r>
          </w:p>
        </w:tc>
      </w:tr>
      <w:tr>
        <w:tc>
          <w:tcPr>
            <w:tcW w:type="dxa" w:w="5040"/>
            <w:vAlign w:val="center"/>
          </w:tcPr>
          <w:p>
            <w:r>
              <w:t>用户登录</w:t>
            </w:r>
          </w:p>
        </w:tc>
        <w:tc>
          <w:tcPr>
            <w:tcW w:type="dxa" w:w="5040"/>
            <w:vAlign w:val="center"/>
          </w:tcPr>
          <w:p>
            <w:r>
              <w:t>POST /auth/cas/login；POST /auth/refresh；POST /auth/logout</w:t>
            </w:r>
          </w:p>
        </w:tc>
      </w:tr>
      <w:tr>
        <w:tc>
          <w:tcPr>
            <w:tcW w:type="dxa" w:w="5040"/>
            <w:vAlign w:val="center"/>
          </w:tcPr>
          <w:p>
            <w:r>
              <w:t>问答会话</w:t>
            </w:r>
          </w:p>
        </w:tc>
        <w:tc>
          <w:tcPr>
            <w:tcW w:type="dxa" w:w="5040"/>
            <w:vAlign w:val="center"/>
          </w:tcPr>
          <w:p>
            <w:r>
              <w:t>POST /chat/messages；POST /chat/messages/stream；GET /chat/conversations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t>课程考试成绩</w:t>
            </w:r>
          </w:p>
        </w:tc>
        <w:tc>
          <w:tcPr>
            <w:tcW w:type="dxa" w:w="5040"/>
            <w:vAlign w:val="center"/>
          </w:tcPr>
          <w:p>
            <w:r>
              <w:t>GET /edu/courses；GET /edu/exams；GET /edu/grades；GET /edu/classrooms/free</w:t>
            </w:r>
          </w:p>
        </w:tc>
      </w:tr>
      <w:tr>
        <w:tc>
          <w:tcPr>
            <w:tcW w:type="dxa" w:w="5040"/>
            <w:vAlign w:val="center"/>
          </w:tcPr>
          <w:p>
            <w:r>
              <w:t>知识库维护</w:t>
            </w:r>
          </w:p>
        </w:tc>
        <w:tc>
          <w:tcPr>
            <w:tcW w:type="dxa" w:w="5040"/>
            <w:vAlign w:val="center"/>
          </w:tcPr>
          <w:p>
            <w:r>
              <w:t>GET/POST/PUT/DELETE /admin/knowledge-entries；版本恢复接口</w:t>
            </w:r>
          </w:p>
        </w:tc>
      </w:tr>
      <w:tr>
        <w:tc>
          <w:tcPr>
            <w:tcW w:type="dxa" w:w="5040"/>
            <w:vAlign w:val="center"/>
          </w:tcPr>
          <w:p>
            <w:r>
              <w:t>未命中闭环</w:t>
            </w:r>
          </w:p>
        </w:tc>
        <w:tc>
          <w:tcPr>
            <w:tcW w:type="dxa" w:w="5040"/>
            <w:vAlign w:val="center"/>
          </w:tcPr>
          <w:p>
            <w:r>
              <w:t>GET /admin/unmatched-queries；PUT /admin/unmatched-queries/{queryId}/resolve</w:t>
            </w:r>
          </w:p>
        </w:tc>
      </w:tr>
    </w:tbl>
    <w:p/>
    <w:p>
      <w:pPr>
        <w:pStyle w:val="Heading1"/>
      </w:pPr>
      <w:r>
        <w:t>安全、异常与约束</w:t>
      </w:r>
    </w:p>
    <w:p>
      <w:r>
        <w:t>所有对外接口必须携带或生成 X-Request-Id，日志、审计、外部调用记录使用同一requestId贯穿。认证采用CAS/OAuth2登录与JWT访问令牌，管理端接口强制RBAC。敏感个人信息只在授权场景展示，成绩、证件号、手机号等字段默认脱敏。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处理策略</w:t>
            </w:r>
          </w:p>
        </w:tc>
      </w:tr>
      <w:tr>
        <w:tc>
          <w:tcPr>
            <w:tcW w:type="dxa" w:w="3360"/>
            <w:vAlign w:val="center"/>
          </w:tcPr>
          <w:p>
            <w:r>
              <w:t>40001</w:t>
            </w:r>
          </w:p>
        </w:tc>
        <w:tc>
          <w:tcPr>
            <w:tcW w:type="dxa" w:w="3360"/>
            <w:vAlign w:val="center"/>
          </w:tcPr>
          <w:p>
            <w:r>
              <w:t>参数校验失败</w:t>
            </w:r>
          </w:p>
        </w:tc>
        <w:tc>
          <w:tcPr>
            <w:tcW w:type="dxa" w:w="3360"/>
            <w:vAlign w:val="center"/>
          </w:tcPr>
          <w:p>
            <w:r>
              <w:t>返回字段级错误errors[]，不进入业务处理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40101</w:t>
            </w:r>
          </w:p>
        </w:tc>
        <w:tc>
          <w:tcPr>
            <w:tcW w:type="dxa" w:w="3360"/>
            <w:vAlign w:val="center"/>
          </w:tcPr>
          <w:p>
            <w:r>
              <w:t>Token过期</w:t>
            </w:r>
          </w:p>
        </w:tc>
        <w:tc>
          <w:tcPr>
            <w:tcW w:type="dxa" w:w="3360"/>
            <w:vAlign w:val="center"/>
          </w:tcPr>
          <w:p>
            <w:r>
              <w:t>客户端尝试刷新，刷新失败则重新登录</w:t>
            </w:r>
          </w:p>
        </w:tc>
      </w:tr>
      <w:tr>
        <w:tc>
          <w:tcPr>
            <w:tcW w:type="dxa" w:w="3360"/>
            <w:vAlign w:val="center"/>
          </w:tcPr>
          <w:p>
            <w:r>
              <w:t>40301</w:t>
            </w:r>
          </w:p>
        </w:tc>
        <w:tc>
          <w:tcPr>
            <w:tcW w:type="dxa" w:w="3360"/>
            <w:vAlign w:val="center"/>
          </w:tcPr>
          <w:p>
            <w:r>
              <w:t>权限不足</w:t>
            </w:r>
          </w:p>
        </w:tc>
        <w:tc>
          <w:tcPr>
            <w:tcW w:type="dxa" w:w="3360"/>
            <w:vAlign w:val="center"/>
          </w:tcPr>
          <w:p>
            <w:r>
              <w:t>记录审计日志，返回最小必要错误信息</w:t>
            </w:r>
          </w:p>
        </w:tc>
      </w:tr>
      <w:tr>
        <w:tc>
          <w:tcPr>
            <w:tcW w:type="dxa" w:w="3360"/>
            <w:vAlign w:val="center"/>
          </w:tcPr>
          <w:p>
            <w:r>
              <w:t>40401</w:t>
            </w:r>
          </w:p>
        </w:tc>
        <w:tc>
          <w:tcPr>
            <w:tcW w:type="dxa" w:w="3360"/>
            <w:vAlign w:val="center"/>
          </w:tcPr>
          <w:p>
            <w:r>
              <w:t>资源不存在</w:t>
            </w:r>
          </w:p>
        </w:tc>
        <w:tc>
          <w:tcPr>
            <w:tcW w:type="dxa" w:w="3360"/>
            <w:vAlign w:val="center"/>
          </w:tcPr>
          <w:p>
            <w:r>
              <w:t>对不存在或无权访问资源统一返回404</w:t>
            </w:r>
          </w:p>
        </w:tc>
      </w:tr>
      <w:tr>
        <w:tc>
          <w:tcPr>
            <w:tcW w:type="dxa" w:w="3360"/>
            <w:vAlign w:val="center"/>
          </w:tcPr>
          <w:p>
            <w:r>
              <w:t>40901</w:t>
            </w:r>
          </w:p>
        </w:tc>
        <w:tc>
          <w:tcPr>
            <w:tcW w:type="dxa" w:w="3360"/>
            <w:vAlign w:val="center"/>
          </w:tcPr>
          <w:p>
            <w:r>
              <w:t>版本冲突</w:t>
            </w:r>
          </w:p>
        </w:tc>
        <w:tc>
          <w:tcPr>
            <w:tcW w:type="dxa" w:w="3360"/>
            <w:vAlign w:val="center"/>
          </w:tcPr>
          <w:p>
            <w:r>
              <w:t>知识条目更新使用version_no乐观锁</w:t>
            </w:r>
          </w:p>
        </w:tc>
      </w:tr>
      <w:tr>
        <w:tc>
          <w:tcPr>
            <w:tcW w:type="dxa" w:w="3360"/>
            <w:vAlign w:val="center"/>
          </w:tcPr>
          <w:p>
            <w:r>
              <w:t>42901</w:t>
            </w:r>
          </w:p>
        </w:tc>
        <w:tc>
          <w:tcPr>
            <w:tcW w:type="dxa" w:w="3360"/>
            <w:vAlign w:val="center"/>
          </w:tcPr>
          <w:p>
            <w:r>
              <w:t>请求过于频繁</w:t>
            </w:r>
          </w:p>
        </w:tc>
        <w:tc>
          <w:tcPr>
            <w:tcW w:type="dxa" w:w="3360"/>
            <w:vAlign w:val="center"/>
          </w:tcPr>
          <w:p>
            <w:r>
              <w:t>网关与业务双层限流，返回Retry-After</w:t>
            </w:r>
          </w:p>
        </w:tc>
      </w:tr>
      <w:tr>
        <w:tc>
          <w:tcPr>
            <w:tcW w:type="dxa" w:w="3360"/>
            <w:vAlign w:val="center"/>
          </w:tcPr>
          <w:p>
            <w:r>
              <w:t>50201</w:t>
            </w:r>
          </w:p>
        </w:tc>
        <w:tc>
          <w:tcPr>
            <w:tcW w:type="dxa" w:w="3360"/>
            <w:vAlign w:val="center"/>
          </w:tcPr>
          <w:p>
            <w:r>
              <w:t>外部系统不可用</w:t>
            </w:r>
          </w:p>
        </w:tc>
        <w:tc>
          <w:tcPr>
            <w:tcW w:type="dxa" w:w="3360"/>
            <w:vAlign w:val="center"/>
          </w:tcPr>
          <w:p>
            <w:r>
              <w:t>触发熔断/降级，提示稍后重试或返回缓存</w:t>
            </w:r>
          </w:p>
        </w:tc>
      </w:tr>
      <w:tr>
        <w:tc>
          <w:tcPr>
            <w:tcW w:type="dxa" w:w="3360"/>
            <w:vAlign w:val="center"/>
          </w:tcPr>
          <w:p>
            <w:r>
              <w:t>50000</w:t>
            </w:r>
          </w:p>
        </w:tc>
        <w:tc>
          <w:tcPr>
            <w:tcW w:type="dxa" w:w="3360"/>
            <w:vAlign w:val="center"/>
          </w:tcPr>
          <w:p>
            <w:r>
              <w:t>系统内部错误</w:t>
            </w:r>
          </w:p>
        </w:tc>
        <w:tc>
          <w:tcPr>
            <w:tcW w:type="dxa" w:w="3360"/>
            <w:vAlign w:val="center"/>
          </w:tcPr>
          <w:p>
            <w:r>
              <w:t>隐藏内部异常细节，关联requestId排障</w:t>
            </w:r>
          </w:p>
        </w:tc>
      </w:tr>
    </w:tbl>
    <w:p/>
    <w:p>
      <w:r>
        <w:t>关键约束包括：统一使用Asia/Shanghai业务时区；所有文本使用UTF-8；接口分页默认pageSize=20且最大100；知识条目更新采用version_no乐观锁；外部系统调用设置3-5秒超时、最多1次重试和熔断降级；涉及个人信息的查询必须写入audit_logs。</w:t>
      </w:r>
    </w:p>
    <w:p>
      <w:pPr>
        <w:pStyle w:val="Heading1"/>
      </w:pPr>
      <w:r>
        <w:t>5. 接口级约束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规则</w:t>
            </w:r>
          </w:p>
        </w:tc>
      </w:tr>
      <w:tr>
        <w:tc>
          <w:tcPr>
            <w:tcW w:type="dxa" w:w="5040"/>
            <w:vAlign w:val="center"/>
          </w:tcPr>
          <w:p>
            <w:r>
              <w:t>幂等</w:t>
            </w:r>
          </w:p>
        </w:tc>
        <w:tc>
          <w:tcPr>
            <w:tcW w:type="dxa" w:w="5040"/>
            <w:vAlign w:val="center"/>
          </w:tcPr>
          <w:p>
            <w:r>
              <w:t>POST导入、反馈、外部查询可携带Idempotency-Key，5分钟内重复请求返回同一结果</w:t>
            </w:r>
          </w:p>
        </w:tc>
      </w:tr>
      <w:tr>
        <w:tc>
          <w:tcPr>
            <w:tcW w:type="dxa" w:w="5040"/>
            <w:vAlign w:val="center"/>
          </w:tcPr>
          <w:p>
            <w:r>
              <w:t>限流</w:t>
            </w:r>
          </w:p>
        </w:tc>
        <w:tc>
          <w:tcPr>
            <w:tcW w:type="dxa" w:w="5040"/>
            <w:vAlign w:val="center"/>
          </w:tcPr>
          <w:p>
            <w:r>
              <w:t>匿名接口30次/分钟，登录用户120次/分钟，管理导入10次/小时</w:t>
            </w:r>
          </w:p>
        </w:tc>
      </w:tr>
      <w:tr>
        <w:tc>
          <w:tcPr>
            <w:tcW w:type="dxa" w:w="5040"/>
            <w:vAlign w:val="center"/>
          </w:tcPr>
          <w:p>
            <w:r>
              <w:t>脱敏</w:t>
            </w:r>
          </w:p>
        </w:tc>
        <w:tc>
          <w:tcPr>
            <w:tcW w:type="dxa" w:w="5040"/>
            <w:vAlign w:val="center"/>
          </w:tcPr>
          <w:p>
            <w:r>
              <w:t>成绩、身份证、手机号、授权关系按角色和场景脱敏</w:t>
            </w:r>
          </w:p>
        </w:tc>
      </w:tr>
      <w:tr>
        <w:tc>
          <w:tcPr>
            <w:tcW w:type="dxa" w:w="5040"/>
            <w:vAlign w:val="center"/>
          </w:tcPr>
          <w:p>
            <w:r>
              <w:t>外部超时</w:t>
            </w:r>
          </w:p>
        </w:tc>
        <w:tc>
          <w:tcPr>
            <w:tcW w:type="dxa" w:w="5040"/>
            <w:vAlign w:val="center"/>
          </w:tcPr>
          <w:p>
            <w:r>
              <w:t>教务/OA/CAS接口超时3-5秒，失败返回50201并记录external_query_logs</w:t>
            </w:r>
          </w:p>
        </w:tc>
      </w:tr>
      <w:tr>
        <w:tc>
          <w:tcPr>
            <w:tcW w:type="dxa" w:w="5040"/>
            <w:vAlign w:val="center"/>
          </w:tcPr>
          <w:p>
            <w:r>
              <w:t>文件上传</w:t>
            </w:r>
          </w:p>
        </w:tc>
        <w:tc>
          <w:tcPr>
            <w:tcW w:type="dxa" w:w="5040"/>
            <w:vAlign w:val="center"/>
          </w:tcPr>
          <w:p>
            <w:r>
              <w:t>附件最大20MB，允许docx/pdf/xlsx/png/jpg，保存MinIO object_key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