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系统概要设计说明书(SSDD)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元信息项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t>文档编号</w:t>
            </w:r>
          </w:p>
        </w:tc>
        <w:tc>
          <w:tcPr>
            <w:tcW w:type="dxa" w:w="5040"/>
            <w:vAlign w:val="center"/>
          </w:tcPr>
          <w:p>
            <w:r>
              <w:t>SSDD-SCHOOL-QA-001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</w:t>
            </w:r>
          </w:p>
        </w:tc>
        <w:tc>
          <w:tcPr>
            <w:tcW w:type="dxa" w:w="5040"/>
            <w:vAlign w:val="center"/>
          </w:tcPr>
          <w:p>
            <w:r>
              <w:t>V1.2</w:t>
            </w:r>
          </w:p>
        </w:tc>
      </w:tr>
      <w:tr>
        <w:tc>
          <w:tcPr>
            <w:tcW w:type="dxa" w:w="5040"/>
            <w:vAlign w:val="center"/>
          </w:tcPr>
          <w:p>
            <w:r>
              <w:t>状态</w:t>
            </w:r>
          </w:p>
        </w:tc>
        <w:tc>
          <w:tcPr>
            <w:tcW w:type="dxa" w:w="5040"/>
            <w:vAlign w:val="center"/>
          </w:tcPr>
          <w:p>
            <w:r>
              <w:t>安全与约束完善稿</w:t>
            </w:r>
          </w:p>
        </w:tc>
      </w:tr>
      <w:tr>
        <w:tc>
          <w:tcPr>
            <w:tcW w:type="dxa" w:w="5040"/>
            <w:vAlign w:val="center"/>
          </w:tcPr>
          <w:p>
            <w:r>
              <w:t>日期</w:t>
            </w:r>
          </w:p>
        </w:tc>
        <w:tc>
          <w:tcPr>
            <w:tcW w:type="dxa" w:w="5040"/>
            <w:vAlign w:val="center"/>
          </w:tcPr>
          <w:p>
            <w:r>
              <w:t>2026-06-10</w:t>
            </w:r>
          </w:p>
        </w:tc>
      </w:tr>
      <w:tr>
        <w:tc>
          <w:tcPr>
            <w:tcW w:type="dxa" w:w="5040"/>
            <w:vAlign w:val="center"/>
          </w:tcPr>
          <w:p>
            <w:r>
              <w:t>上游</w:t>
            </w:r>
          </w:p>
        </w:tc>
        <w:tc>
          <w:tcPr>
            <w:tcW w:type="dxa" w:w="5040"/>
            <w:vAlign w:val="center"/>
          </w:tcPr>
          <w:p>
            <w:r>
              <w:t>软件需求规格说明书(SRS) V1.3；项目范围说明；外部系统接口清单</w:t>
            </w:r>
          </w:p>
        </w:tc>
      </w:tr>
      <w:tr>
        <w:tc>
          <w:tcPr>
            <w:tcW w:type="dxa" w:w="5040"/>
            <w:vAlign w:val="center"/>
          </w:tcPr>
          <w:p>
            <w:r>
              <w:t>下游</w:t>
            </w:r>
          </w:p>
        </w:tc>
        <w:tc>
          <w:tcPr>
            <w:tcW w:type="dxa" w:w="5040"/>
            <w:vAlign w:val="center"/>
          </w:tcPr>
          <w:p>
            <w:r>
              <w:t>数据库设计说明书(DBDD)；接口设计说明书(IDD)；详细设计说明书(DDD)；系统测试设计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版本关系</w:t>
            </w:r>
          </w:p>
        </w:tc>
        <w:tc>
          <w:tcPr>
            <w:tcW w:type="dxa" w:w="5040"/>
            <w:vAlign w:val="center"/>
          </w:tcPr>
          <w:p>
            <w:r>
              <w:t>原始交付文件 系统概要设计说明书(SSDD).docx 对应 V1.2；独立版本文件用于版本审计。</w:t>
            </w:r>
          </w:p>
        </w:tc>
      </w:tr>
    </w:tbl>
    <w:p/>
    <w:p>
      <w:pPr>
        <w:pStyle w:val="Heading1"/>
      </w:pPr>
      <w: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主要变更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V1.0</w:t>
            </w:r>
          </w:p>
        </w:tc>
        <w:tc>
          <w:tcPr>
            <w:tcW w:type="dxa" w:w="2520"/>
            <w:vAlign w:val="center"/>
          </w:tcPr>
          <w:p>
            <w:r>
              <w:t>2026-05-24</w:t>
            </w:r>
          </w:p>
        </w:tc>
        <w:tc>
          <w:tcPr>
            <w:tcW w:type="dxa" w:w="2520"/>
            <w:vAlign w:val="center"/>
          </w:tcPr>
          <w:p>
            <w:r>
              <w:t>初稿</w:t>
            </w:r>
          </w:p>
        </w:tc>
        <w:tc>
          <w:tcPr>
            <w:tcW w:type="dxa" w:w="2520"/>
            <w:vAlign w:val="center"/>
          </w:tcPr>
          <w:p>
            <w:r>
              <w:t>建立初始架构、数据、接口和模块边界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V1.1</w:t>
            </w:r>
          </w:p>
        </w:tc>
        <w:tc>
          <w:tcPr>
            <w:tcW w:type="dxa" w:w="2520"/>
            <w:vAlign w:val="center"/>
          </w:tcPr>
          <w:p>
            <w:r>
              <w:t>2026-06-02</w:t>
            </w:r>
          </w:p>
        </w:tc>
        <w:tc>
          <w:tcPr>
            <w:tcW w:type="dxa" w:w="2520"/>
            <w:vAlign w:val="center"/>
          </w:tcPr>
          <w:p>
            <w:r>
              <w:t>SRS对齐稿</w:t>
            </w:r>
          </w:p>
        </w:tc>
        <w:tc>
          <w:tcPr>
            <w:tcW w:type="dxa" w:w="2520"/>
            <w:vAlign w:val="center"/>
          </w:tcPr>
          <w:p>
            <w:r>
              <w:t>按SRS补齐角色、场景、非功能需求和外部系统边界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V1.2</w:t>
            </w:r>
          </w:p>
        </w:tc>
        <w:tc>
          <w:tcPr>
            <w:tcW w:type="dxa" w:w="2520"/>
            <w:vAlign w:val="center"/>
          </w:tcPr>
          <w:p>
            <w:r>
              <w:t>2026-06-10</w:t>
            </w:r>
          </w:p>
        </w:tc>
        <w:tc>
          <w:tcPr>
            <w:tcW w:type="dxa" w:w="2520"/>
            <w:vAlign w:val="center"/>
          </w:tcPr>
          <w:p>
            <w:r>
              <w:t>安全与约束完善稿</w:t>
            </w:r>
          </w:p>
        </w:tc>
        <w:tc>
          <w:tcPr>
            <w:tcW w:type="dxa" w:w="2520"/>
            <w:vAlign w:val="center"/>
          </w:tcPr>
          <w:p>
            <w:r>
              <w:t>补充安全、异常、数据约束、限流、审计和降级策略</w:t>
            </w:r>
          </w:p>
        </w:tc>
      </w:tr>
    </w:tbl>
    <w:p/>
    <w:p>
      <w:pPr>
        <w:pStyle w:val="Heading1"/>
      </w:pPr>
      <w:r>
        <w:t>1. 架构概述</w:t>
      </w:r>
    </w:p>
    <w:p>
      <w:r>
        <w:t>系统采用前后端分离、网关统一入口、业务服务分层、NLU模型服务独立部署的架构。用户端与管理端通过REST/SSE/WebSocket访问网关；网关转发至Java业务服务；业务服务按需调用Python NLU服务、教务/OA/CAS外部系统和各类数据存储。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架构原则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t>关注点分离</w:t>
            </w:r>
          </w:p>
        </w:tc>
        <w:tc>
          <w:tcPr>
            <w:tcW w:type="dxa" w:w="5040"/>
            <w:vAlign w:val="center"/>
          </w:tcPr>
          <w:p>
            <w:r>
              <w:t>前端、网关、业务服务、模型服务、数据存储分层清晰</w:t>
            </w:r>
          </w:p>
        </w:tc>
      </w:tr>
      <w:tr>
        <w:tc>
          <w:tcPr>
            <w:tcW w:type="dxa" w:w="5040"/>
            <w:vAlign w:val="center"/>
          </w:tcPr>
          <w:p>
            <w:r>
              <w:t>高内聚低耦合</w:t>
            </w:r>
          </w:p>
        </w:tc>
        <w:tc>
          <w:tcPr>
            <w:tcW w:type="dxa" w:w="5040"/>
            <w:vAlign w:val="center"/>
          </w:tcPr>
          <w:p>
            <w:r>
              <w:t>认证、对话、知识库、统计、外部代理按领域拆分</w:t>
            </w:r>
          </w:p>
        </w:tc>
      </w:tr>
      <w:tr>
        <w:tc>
          <w:tcPr>
            <w:tcW w:type="dxa" w:w="5040"/>
            <w:vAlign w:val="center"/>
          </w:tcPr>
          <w:p>
            <w:r>
              <w:t>无状态服务</w:t>
            </w:r>
          </w:p>
        </w:tc>
        <w:tc>
          <w:tcPr>
            <w:tcW w:type="dxa" w:w="5040"/>
            <w:vAlign w:val="center"/>
          </w:tcPr>
          <w:p>
            <w:r>
              <w:t>应用实例无状态，状态进入Redis/MySQL等共享存储</w:t>
            </w:r>
          </w:p>
        </w:tc>
      </w:tr>
      <w:tr>
        <w:tc>
          <w:tcPr>
            <w:tcW w:type="dxa" w:w="5040"/>
            <w:vAlign w:val="center"/>
          </w:tcPr>
          <w:p>
            <w:r>
              <w:t>故障隔离</w:t>
            </w:r>
          </w:p>
        </w:tc>
        <w:tc>
          <w:tcPr>
            <w:tcW w:type="dxa" w:w="5040"/>
            <w:vAlign w:val="center"/>
          </w:tcPr>
          <w:p>
            <w:r>
              <w:t>外部系统、NLU服务和检索组件均配置超时、熔断和降级</w:t>
            </w:r>
          </w:p>
        </w:tc>
      </w:tr>
      <w:tr>
        <w:tc>
          <w:tcPr>
            <w:tcW w:type="dxa" w:w="5040"/>
            <w:vAlign w:val="center"/>
          </w:tcPr>
          <w:p>
            <w:r>
              <w:t>安全内置</w:t>
            </w:r>
          </w:p>
        </w:tc>
        <w:tc>
          <w:tcPr>
            <w:tcW w:type="dxa" w:w="5040"/>
            <w:vAlign w:val="center"/>
          </w:tcPr>
          <w:p>
            <w:r>
              <w:t>认证、授权、审计、脱敏、敏感词检测进入主流程</w:t>
            </w:r>
          </w:p>
        </w:tc>
      </w:tr>
    </w:tbl>
    <w:p/>
    <w:p>
      <w:pPr>
        <w:pStyle w:val="Heading1"/>
      </w:pPr>
      <w:r>
        <w:t>统一技术栈</w:t>
      </w:r>
    </w:p>
    <w:p>
      <w:r>
        <w:t>本项目所有设计文档采用同一技术口径：Java业务服务承担认证、用户、对话、知识库、管理和统计等稳定业务能力；Python FastAPI仅作为NLU/Embedding模型服务；数据库以MySQL为结构化主库，Redis、Elasticsearch、Milvus和MinIO分别承担缓存、全文检索、向量检索和对象存储。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t>用户端</w:t>
            </w:r>
          </w:p>
        </w:tc>
        <w:tc>
          <w:tcPr>
            <w:tcW w:type="dxa" w:w="3360"/>
            <w:vAlign w:val="center"/>
          </w:tcPr>
          <w:p>
            <w:r>
              <w:t>uni-app + Vue 3 + TypeScript + Vant/uni-ui</w:t>
            </w:r>
          </w:p>
        </w:tc>
        <w:tc>
          <w:tcPr>
            <w:tcW w:type="dxa" w:w="3360"/>
            <w:vAlign w:val="center"/>
          </w:tcPr>
          <w:p>
            <w:r>
              <w:t>H5与微信小程序统一实现，调用 /school-qa/v1 API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管理端</w:t>
            </w:r>
          </w:p>
        </w:tc>
        <w:tc>
          <w:tcPr>
            <w:tcW w:type="dxa" w:w="3360"/>
            <w:vAlign w:val="center"/>
          </w:tcPr>
          <w:p>
            <w:r>
              <w:t>React 18 + TypeScript + Ant Design Pro</w:t>
            </w:r>
          </w:p>
        </w:tc>
        <w:tc>
          <w:tcPr>
            <w:tcW w:type="dxa" w:w="3360"/>
            <w:vAlign w:val="center"/>
          </w:tcPr>
          <w:p>
            <w:r>
              <w:t>知识库、未命中问题、统计与系统配置管理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API网关</w:t>
            </w:r>
          </w:p>
        </w:tc>
        <w:tc>
          <w:tcPr>
            <w:tcW w:type="dxa" w:w="3360"/>
            <w:vAlign w:val="center"/>
          </w:tcPr>
          <w:p>
            <w:r>
              <w:t>Spring Cloud Gateway</w:t>
            </w:r>
          </w:p>
        </w:tc>
        <w:tc>
          <w:tcPr>
            <w:tcW w:type="dxa" w:w="3360"/>
            <w:vAlign w:val="center"/>
          </w:tcPr>
          <w:p>
            <w:r>
              <w:t>统一路由、鉴权前置、限流、Trace ID注入</w:t>
            </w:r>
          </w:p>
        </w:tc>
      </w:tr>
      <w:tr>
        <w:tc>
          <w:tcPr>
            <w:tcW w:type="dxa" w:w="3360"/>
            <w:vAlign w:val="center"/>
          </w:tcPr>
          <w:p>
            <w:r>
              <w:t>业务服务</w:t>
            </w:r>
          </w:p>
        </w:tc>
        <w:tc>
          <w:tcPr>
            <w:tcW w:type="dxa" w:w="3360"/>
            <w:vAlign w:val="center"/>
          </w:tcPr>
          <w:p>
            <w:r>
              <w:t>Java 17 + Spring Boot 3.x</w:t>
            </w:r>
          </w:p>
        </w:tc>
        <w:tc>
          <w:tcPr>
            <w:tcW w:type="dxa" w:w="3360"/>
            <w:vAlign w:val="center"/>
          </w:tcPr>
          <w:p>
            <w:r>
              <w:t>认证、用户、对话、知识库、管理、统计等核心业务</w:t>
            </w:r>
          </w:p>
        </w:tc>
      </w:tr>
      <w:tr>
        <w:tc>
          <w:tcPr>
            <w:tcW w:type="dxa" w:w="3360"/>
            <w:vAlign w:val="center"/>
          </w:tcPr>
          <w:p>
            <w:r>
              <w:t>NLU服务</w:t>
            </w:r>
          </w:p>
        </w:tc>
        <w:tc>
          <w:tcPr>
            <w:tcW w:type="dxa" w:w="3360"/>
            <w:vAlign w:val="center"/>
          </w:tcPr>
          <w:p>
            <w:r>
              <w:t>Python 3.10 + FastAPI + PyTorch/Transformers</w:t>
            </w:r>
          </w:p>
        </w:tc>
        <w:tc>
          <w:tcPr>
            <w:tcW w:type="dxa" w:w="3360"/>
            <w:vAlign w:val="center"/>
          </w:tcPr>
          <w:p>
            <w:r>
              <w:t>意图识别、实体抽取、Embedding生成，通过内部REST调用</w:t>
            </w:r>
          </w:p>
        </w:tc>
      </w:tr>
      <w:tr>
        <w:tc>
          <w:tcPr>
            <w:tcW w:type="dxa" w:w="3360"/>
            <w:vAlign w:val="center"/>
          </w:tcPr>
          <w:p>
            <w:r>
              <w:t>数据存储</w:t>
            </w:r>
          </w:p>
        </w:tc>
        <w:tc>
          <w:tcPr>
            <w:tcW w:type="dxa" w:w="3360"/>
            <w:vAlign w:val="center"/>
          </w:tcPr>
          <w:p>
            <w:r>
              <w:t>MySQL 8.0.33 + Redis 7.2 + Elasticsearch 8.11 + Milvus 2.3 + MinIO</w:t>
            </w:r>
          </w:p>
        </w:tc>
        <w:tc>
          <w:tcPr>
            <w:tcW w:type="dxa" w:w="3360"/>
            <w:vAlign w:val="center"/>
          </w:tcPr>
          <w:p>
            <w:r>
              <w:t>结构化数据、缓存、全文检索、向量检索与附件存储</w:t>
            </w:r>
          </w:p>
        </w:tc>
      </w:tr>
      <w:tr>
        <w:tc>
          <w:tcPr>
            <w:tcW w:type="dxa" w:w="3360"/>
            <w:vAlign w:val="center"/>
          </w:tcPr>
          <w:p>
            <w:r>
              <w:t>交付与运行</w:t>
            </w:r>
          </w:p>
        </w:tc>
        <w:tc>
          <w:tcPr>
            <w:tcW w:type="dxa" w:w="3360"/>
            <w:vAlign w:val="center"/>
          </w:tcPr>
          <w:p>
            <w:r>
              <w:t>Docker + Kubernetes + Prometheus/Grafana</w:t>
            </w:r>
          </w:p>
        </w:tc>
        <w:tc>
          <w:tcPr>
            <w:tcW w:type="dxa" w:w="3360"/>
            <w:vAlign w:val="center"/>
          </w:tcPr>
          <w:p>
            <w:r>
              <w:t>容器化部署、弹性伸缩、监控告警</w:t>
            </w:r>
          </w:p>
        </w:tc>
      </w:tr>
    </w:tbl>
    <w:p/>
    <w:p>
      <w:pPr>
        <w:pStyle w:val="Heading1"/>
      </w:pPr>
      <w:r>
        <w:t>接口、数据库与详细设计关系</w:t>
      </w:r>
    </w:p>
    <w:p>
      <w:r>
        <w:t>IDD定义外部和内部接口契约；DBDD定义接口落库与缓存对象；DDD定义实现这些接口的模块、类、流程、事务和异常处理；SSDD约束服务边界和跨模块协作。四类文档以SRS为共同上游，不再出现单体FastAPI或SQLite作为正式生产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路径/范围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与数据和模块的关系</w:t>
            </w:r>
          </w:p>
        </w:tc>
      </w:tr>
      <w:tr>
        <w:tc>
          <w:tcPr>
            <w:tcW w:type="dxa" w:w="3360"/>
            <w:vAlign w:val="center"/>
          </w:tcPr>
          <w:p>
            <w:r>
              <w:t>外部REST</w:t>
            </w:r>
          </w:p>
        </w:tc>
        <w:tc>
          <w:tcPr>
            <w:tcW w:type="dxa" w:w="3360"/>
            <w:vAlign w:val="center"/>
          </w:tcPr>
          <w:p>
            <w:r>
              <w:t>/school-qa/v1</w:t>
            </w:r>
          </w:p>
        </w:tc>
        <w:tc>
          <w:tcPr>
            <w:tcW w:type="dxa" w:w="3360"/>
            <w:vAlign w:val="center"/>
          </w:tcPr>
          <w:p>
            <w:r>
              <w:t>用户端接口：认证、问答、课程考试成绩查询、反馈与建议问题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管理REST</w:t>
            </w:r>
          </w:p>
        </w:tc>
        <w:tc>
          <w:tcPr>
            <w:tcW w:type="dxa" w:w="3360"/>
            <w:vAlign w:val="center"/>
          </w:tcPr>
          <w:p>
            <w:r>
              <w:t>/school-qa/admin/v1</w:t>
            </w:r>
          </w:p>
        </w:tc>
        <w:tc>
          <w:tcPr>
            <w:tcW w:type="dxa" w:w="3360"/>
            <w:vAlign w:val="center"/>
          </w:tcPr>
          <w:p>
            <w:r>
              <w:t>管理端接口：知识库、分类、未命中、敏感词、统计、配置</w:t>
            </w:r>
          </w:p>
        </w:tc>
      </w:tr>
      <w:tr>
        <w:tc>
          <w:tcPr>
            <w:tcW w:type="dxa" w:w="3360"/>
            <w:vAlign w:val="center"/>
          </w:tcPr>
          <w:p>
            <w:r>
              <w:t>流式响应</w:t>
            </w:r>
          </w:p>
        </w:tc>
        <w:tc>
          <w:tcPr>
            <w:tcW w:type="dxa" w:w="3360"/>
            <w:vAlign w:val="center"/>
          </w:tcPr>
          <w:p>
            <w:r>
              <w:t>/school-qa/v1/chat/messages/stream</w:t>
            </w:r>
          </w:p>
        </w:tc>
        <w:tc>
          <w:tcPr>
            <w:tcW w:type="dxa" w:w="3360"/>
            <w:vAlign w:val="center"/>
          </w:tcPr>
          <w:p>
            <w:r>
              <w:t>SSE返回问答生成过程和最终答案</w:t>
            </w:r>
          </w:p>
        </w:tc>
      </w:tr>
      <w:tr>
        <w:tc>
          <w:tcPr>
            <w:tcW w:type="dxa" w:w="3360"/>
            <w:vAlign w:val="center"/>
          </w:tcPr>
          <w:p>
            <w:r>
              <w:t>实时通道</w:t>
            </w:r>
          </w:p>
        </w:tc>
        <w:tc>
          <w:tcPr>
            <w:tcW w:type="dxa" w:w="3360"/>
            <w:vAlign w:val="center"/>
          </w:tcPr>
          <w:p>
            <w:r>
              <w:t>/school-qa/ws/chat</w:t>
            </w:r>
          </w:p>
        </w:tc>
        <w:tc>
          <w:tcPr>
            <w:tcW w:type="dxa" w:w="3360"/>
            <w:vAlign w:val="center"/>
          </w:tcPr>
          <w:p>
            <w:r>
              <w:t>WebSocket推送输入中状态、消息和考试提醒</w:t>
            </w:r>
          </w:p>
        </w:tc>
      </w:tr>
      <w:tr>
        <w:tc>
          <w:tcPr>
            <w:tcW w:type="dxa" w:w="3360"/>
            <w:vAlign w:val="center"/>
          </w:tcPr>
          <w:p>
            <w:r>
              <w:t>内部服务</w:t>
            </w:r>
          </w:p>
        </w:tc>
        <w:tc>
          <w:tcPr>
            <w:tcW w:type="dxa" w:w="3360"/>
            <w:vAlign w:val="center"/>
          </w:tcPr>
          <w:p>
            <w:r>
              <w:t>/internal/nlu/*</w:t>
            </w:r>
          </w:p>
        </w:tc>
        <w:tc>
          <w:tcPr>
            <w:tcW w:type="dxa" w:w="3360"/>
            <w:vAlign w:val="center"/>
          </w:tcPr>
          <w:p>
            <w:r>
              <w:t>Java业务服务调用FastAPI NLU服务，不直接暴露给客户端</w:t>
            </w:r>
          </w:p>
        </w:tc>
      </w:tr>
    </w:tbl>
    <w:p/>
    <w:p>
      <w:pPr>
        <w:pStyle w:val="Heading1"/>
      </w:pPr>
      <w:r>
        <w:t>2. 逻辑架构</w:t>
      </w:r>
    </w:p>
    <w:p>
      <w:r>
        <w:rPr>
          <w:rFonts w:ascii="Consolas" w:hAnsi="Consolas" w:eastAsia="Consolas"/>
          <w:sz w:val="18"/>
        </w:rPr>
        <w:t>用户端/管理端 -&gt; Spring Cloud Gateway -&gt; Java业务服务(认证/用户/对话/知识库/管理/统计) -&gt; MySQL/Redis/ES/Milvus/MinIO</w:t>
        <w:br/>
        <w:t xml:space="preserve">                                      |-&gt; Python FastAPI NLU服务</w:t>
        <w:br/>
        <w:t xml:space="preserve">                                      |-&gt; CAS/教务/OA外部系统</w:t>
      </w:r>
    </w:p>
    <w:p>
      <w:pPr>
        <w:pStyle w:val="Heading1"/>
      </w:pPr>
      <w:r>
        <w:t>3. 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主要协作</w:t>
            </w:r>
          </w:p>
        </w:tc>
      </w:tr>
      <w:tr>
        <w:tc>
          <w:tcPr>
            <w:tcW w:type="dxa" w:w="3360"/>
            <w:vAlign w:val="center"/>
          </w:tcPr>
          <w:p>
            <w:r>
              <w:t>认证与用户</w:t>
            </w:r>
          </w:p>
        </w:tc>
        <w:tc>
          <w:tcPr>
            <w:tcW w:type="dxa" w:w="3360"/>
            <w:vAlign w:val="center"/>
          </w:tcPr>
          <w:p>
            <w:r>
              <w:t>CAS/OAuth2登录、JWT、角色与家长授权</w:t>
            </w:r>
          </w:p>
        </w:tc>
        <w:tc>
          <w:tcPr>
            <w:tcW w:type="dxa" w:w="3360"/>
            <w:vAlign w:val="center"/>
          </w:tcPr>
          <w:p>
            <w:r>
              <w:t>users、students、teachers、parents、audit_logs</w:t>
            </w:r>
          </w:p>
        </w:tc>
      </w:tr>
      <w:tr>
        <w:tc>
          <w:tcPr>
            <w:tcW w:type="dxa" w:w="3360"/>
            <w:vAlign w:val="center"/>
          </w:tcPr>
          <w:p>
            <w:r>
              <w:t>对话管理</w:t>
            </w:r>
          </w:p>
        </w:tc>
        <w:tc>
          <w:tcPr>
            <w:tcW w:type="dxa" w:w="3360"/>
            <w:vAlign w:val="center"/>
          </w:tcPr>
          <w:p>
            <w:r>
              <w:t>会话、消息、上下文、流式响应编排</w:t>
            </w:r>
          </w:p>
        </w:tc>
        <w:tc>
          <w:tcPr>
            <w:tcW w:type="dxa" w:w="3360"/>
            <w:vAlign w:val="center"/>
          </w:tcPr>
          <w:p>
            <w:r>
              <w:t>conversations、messages、Redis context、NluClient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NLU问答引擎</w:t>
            </w:r>
          </w:p>
        </w:tc>
        <w:tc>
          <w:tcPr>
            <w:tcW w:type="dxa" w:w="3360"/>
            <w:vAlign w:val="center"/>
          </w:tcPr>
          <w:p>
            <w:r>
              <w:t>意图识别、实体抽取、Embedding、置信度输出</w:t>
            </w:r>
          </w:p>
        </w:tc>
        <w:tc>
          <w:tcPr>
            <w:tcW w:type="dxa" w:w="3360"/>
            <w:vAlign w:val="center"/>
          </w:tcPr>
          <w:p>
            <w:r>
              <w:t>FastAPI、PyTorch、Milvus</w:t>
            </w:r>
          </w:p>
        </w:tc>
      </w:tr>
      <w:tr>
        <w:tc>
          <w:tcPr>
            <w:tcW w:type="dxa" w:w="3360"/>
            <w:vAlign w:val="center"/>
          </w:tcPr>
          <w:p>
            <w:r>
              <w:t>知识检索</w:t>
            </w:r>
          </w:p>
        </w:tc>
        <w:tc>
          <w:tcPr>
            <w:tcW w:type="dxa" w:w="3360"/>
            <w:vAlign w:val="center"/>
          </w:tcPr>
          <w:p>
            <w:r>
              <w:t>ES BM25与Milvus向量融合排序，知识条目版本化</w:t>
            </w:r>
          </w:p>
        </w:tc>
        <w:tc>
          <w:tcPr>
            <w:tcW w:type="dxa" w:w="3360"/>
            <w:vAlign w:val="center"/>
          </w:tcPr>
          <w:p>
            <w:r>
              <w:t>knowledge_entries、entry_versions、ES、Milvus</w:t>
            </w:r>
          </w:p>
        </w:tc>
      </w:tr>
      <w:tr>
        <w:tc>
          <w:tcPr>
            <w:tcW w:type="dxa" w:w="3360"/>
            <w:vAlign w:val="center"/>
          </w:tcPr>
          <w:p>
            <w:r>
              <w:t>外部系统代理</w:t>
            </w:r>
          </w:p>
        </w:tc>
        <w:tc>
          <w:tcPr>
            <w:tcW w:type="dxa" w:w="3360"/>
            <w:vAlign w:val="center"/>
          </w:tcPr>
          <w:p>
            <w:r>
              <w:t>课程、考试、成绩、办事流程等外部查询</w:t>
            </w:r>
          </w:p>
        </w:tc>
        <w:tc>
          <w:tcPr>
            <w:tcW w:type="dxa" w:w="3360"/>
            <w:vAlign w:val="center"/>
          </w:tcPr>
          <w:p>
            <w:r>
              <w:t>教务/OA/CAS API、Redis缓存、external_query_logs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管理后台</w:t>
            </w:r>
          </w:p>
        </w:tc>
        <w:tc>
          <w:tcPr>
            <w:tcW w:type="dxa" w:w="3360"/>
            <w:vAlign w:val="center"/>
          </w:tcPr>
          <w:p>
            <w:r>
              <w:t>知识库、分类、未命中、敏感词、统计、配置</w:t>
            </w:r>
          </w:p>
        </w:tc>
        <w:tc>
          <w:tcPr>
            <w:tcW w:type="dxa" w:w="3360"/>
            <w:vAlign w:val="center"/>
          </w:tcPr>
          <w:p>
            <w:r>
              <w:t>admin REST、React管理端</w:t>
            </w:r>
          </w:p>
        </w:tc>
      </w:tr>
    </w:tbl>
    <w:p/>
    <w:p>
      <w:pPr>
        <w:pStyle w:val="Heading1"/>
      </w:pPr>
      <w:r>
        <w:t>4. SRS对齐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SRS能力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概要设计响应</w:t>
            </w:r>
          </w:p>
        </w:tc>
      </w:tr>
      <w:tr>
        <w:tc>
          <w:tcPr>
            <w:tcW w:type="dxa" w:w="5040"/>
            <w:vAlign w:val="center"/>
          </w:tcPr>
          <w:p>
            <w:r>
              <w:t>多角色访问</w:t>
            </w:r>
          </w:p>
        </w:tc>
        <w:tc>
          <w:tcPr>
            <w:tcW w:type="dxa" w:w="5040"/>
            <w:vAlign w:val="center"/>
          </w:tcPr>
          <w:p>
            <w:r>
              <w:t>学生、教师、辅导员、家长、管理员均通过统一用户模型和RBAC进入系统</w:t>
            </w:r>
          </w:p>
        </w:tc>
      </w:tr>
      <w:tr>
        <w:tc>
          <w:tcPr>
            <w:tcW w:type="dxa" w:w="5040"/>
            <w:vAlign w:val="center"/>
          </w:tcPr>
          <w:p>
            <w:r>
              <w:t>校务问答</w:t>
            </w:r>
          </w:p>
        </w:tc>
        <w:tc>
          <w:tcPr>
            <w:tcW w:type="dxa" w:w="5040"/>
            <w:vAlign w:val="center"/>
          </w:tcPr>
          <w:p>
            <w:r>
              <w:t>对话管理服务编排NLU、知识检索和外部代理，支持非流式与SSE流式回答</w:t>
            </w:r>
          </w:p>
        </w:tc>
      </w:tr>
      <w:tr>
        <w:tc>
          <w:tcPr>
            <w:tcW w:type="dxa" w:w="5040"/>
            <w:vAlign w:val="center"/>
          </w:tcPr>
          <w:p>
            <w:r>
              <w:t>知识库维护</w:t>
            </w:r>
          </w:p>
        </w:tc>
        <w:tc>
          <w:tcPr>
            <w:tcW w:type="dxa" w:w="5040"/>
            <w:vAlign w:val="center"/>
          </w:tcPr>
          <w:p>
            <w:r>
              <w:t>管理端支持分类、条目、版本、附件、批量导入导出和未命中闭环</w:t>
            </w:r>
          </w:p>
        </w:tc>
      </w:tr>
      <w:tr>
        <w:tc>
          <w:tcPr>
            <w:tcW w:type="dxa" w:w="5040"/>
            <w:vAlign w:val="center"/>
          </w:tcPr>
          <w:p>
            <w:r>
              <w:t>质量属性</w:t>
            </w:r>
          </w:p>
        </w:tc>
        <w:tc>
          <w:tcPr>
            <w:tcW w:type="dxa" w:w="5040"/>
            <w:vAlign w:val="center"/>
          </w:tcPr>
          <w:p>
            <w:r>
              <w:t>高峰期通过K8s HPA扩展；外部系统失败时降级；关键查询写审计日志</w:t>
            </w:r>
          </w:p>
        </w:tc>
      </w:tr>
    </w:tbl>
    <w:p/>
    <w:p>
      <w:pPr>
        <w:pStyle w:val="Heading1"/>
      </w:pPr>
      <w:r>
        <w:t>5. 关键流程</w:t>
      </w:r>
    </w:p>
    <w:p>
      <w:r>
        <w:rPr>
          <w:rFonts w:ascii="Consolas" w:hAnsi="Consolas" w:eastAsia="Consolas"/>
          <w:sz w:val="18"/>
        </w:rPr>
        <w:t>课程查询: 用户消息 -&gt; NLU识别COURSE_QUERY/date -&gt; 鉴权与授权 -&gt; Redis缓存查询 -&gt; 教务API -&gt; 结果脱敏/格式化 -&gt; messages与external_query_logs落库 -&gt; 返回</w:t>
        <w:br/>
        <w:t>知识问答: 用户消息 -&gt; NLU识别PROCEDURE_QUERY -&gt; ES全文检索 + Milvus语义检索 -&gt; 融合排序 -&gt; MySQL读取条目正文 -&gt; 返回并更新统计</w:t>
      </w:r>
    </w:p>
    <w:p>
      <w:pPr>
        <w:pStyle w:val="Heading1"/>
      </w:pPr>
      <w:r>
        <w:t>安全、异常与约束</w:t>
      </w:r>
    </w:p>
    <w:p>
      <w:r>
        <w:t>所有对外接口必须携带或生成 X-Request-Id，日志、审计、外部调用记录使用同一requestId贯穿。认证采用CAS/OAuth2登录与JWT访问令牌，管理端接口强制RBAC。敏感个人信息只在授权场景展示，成绩、证件号、手机号等字段默认脱敏。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处理策略</w:t>
            </w:r>
          </w:p>
        </w:tc>
      </w:tr>
      <w:tr>
        <w:tc>
          <w:tcPr>
            <w:tcW w:type="dxa" w:w="3360"/>
            <w:vAlign w:val="center"/>
          </w:tcPr>
          <w:p>
            <w:r>
              <w:t>40001</w:t>
            </w:r>
          </w:p>
        </w:tc>
        <w:tc>
          <w:tcPr>
            <w:tcW w:type="dxa" w:w="3360"/>
            <w:vAlign w:val="center"/>
          </w:tcPr>
          <w:p>
            <w:r>
              <w:t>参数校验失败</w:t>
            </w:r>
          </w:p>
        </w:tc>
        <w:tc>
          <w:tcPr>
            <w:tcW w:type="dxa" w:w="3360"/>
            <w:vAlign w:val="center"/>
          </w:tcPr>
          <w:p>
            <w:r>
              <w:t>返回字段级错误errors[]，不进入业务处理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40101</w:t>
            </w:r>
          </w:p>
        </w:tc>
        <w:tc>
          <w:tcPr>
            <w:tcW w:type="dxa" w:w="3360"/>
            <w:vAlign w:val="center"/>
          </w:tcPr>
          <w:p>
            <w:r>
              <w:t>Token过期</w:t>
            </w:r>
          </w:p>
        </w:tc>
        <w:tc>
          <w:tcPr>
            <w:tcW w:type="dxa" w:w="3360"/>
            <w:vAlign w:val="center"/>
          </w:tcPr>
          <w:p>
            <w:r>
              <w:t>客户端尝试刷新，刷新失败则重新登录</w:t>
            </w:r>
          </w:p>
        </w:tc>
      </w:tr>
      <w:tr>
        <w:tc>
          <w:tcPr>
            <w:tcW w:type="dxa" w:w="3360"/>
            <w:vAlign w:val="center"/>
          </w:tcPr>
          <w:p>
            <w:r>
              <w:t>40301</w:t>
            </w:r>
          </w:p>
        </w:tc>
        <w:tc>
          <w:tcPr>
            <w:tcW w:type="dxa" w:w="3360"/>
            <w:vAlign w:val="center"/>
          </w:tcPr>
          <w:p>
            <w:r>
              <w:t>权限不足</w:t>
            </w:r>
          </w:p>
        </w:tc>
        <w:tc>
          <w:tcPr>
            <w:tcW w:type="dxa" w:w="3360"/>
            <w:vAlign w:val="center"/>
          </w:tcPr>
          <w:p>
            <w:r>
              <w:t>记录审计日志，返回最小必要错误信息</w:t>
            </w:r>
          </w:p>
        </w:tc>
      </w:tr>
      <w:tr>
        <w:tc>
          <w:tcPr>
            <w:tcW w:type="dxa" w:w="3360"/>
            <w:vAlign w:val="center"/>
          </w:tcPr>
          <w:p>
            <w:r>
              <w:t>40401</w:t>
            </w:r>
          </w:p>
        </w:tc>
        <w:tc>
          <w:tcPr>
            <w:tcW w:type="dxa" w:w="3360"/>
            <w:vAlign w:val="center"/>
          </w:tcPr>
          <w:p>
            <w:r>
              <w:t>资源不存在</w:t>
            </w:r>
          </w:p>
        </w:tc>
        <w:tc>
          <w:tcPr>
            <w:tcW w:type="dxa" w:w="3360"/>
            <w:vAlign w:val="center"/>
          </w:tcPr>
          <w:p>
            <w:r>
              <w:t>对不存在或无权访问资源统一返回404</w:t>
            </w:r>
          </w:p>
        </w:tc>
      </w:tr>
      <w:tr>
        <w:tc>
          <w:tcPr>
            <w:tcW w:type="dxa" w:w="3360"/>
            <w:vAlign w:val="center"/>
          </w:tcPr>
          <w:p>
            <w:r>
              <w:t>40901</w:t>
            </w:r>
          </w:p>
        </w:tc>
        <w:tc>
          <w:tcPr>
            <w:tcW w:type="dxa" w:w="3360"/>
            <w:vAlign w:val="center"/>
          </w:tcPr>
          <w:p>
            <w:r>
              <w:t>版本冲突</w:t>
            </w:r>
          </w:p>
        </w:tc>
        <w:tc>
          <w:tcPr>
            <w:tcW w:type="dxa" w:w="3360"/>
            <w:vAlign w:val="center"/>
          </w:tcPr>
          <w:p>
            <w:r>
              <w:t>知识条目更新使用version_no乐观锁</w:t>
            </w:r>
          </w:p>
        </w:tc>
      </w:tr>
      <w:tr>
        <w:tc>
          <w:tcPr>
            <w:tcW w:type="dxa" w:w="3360"/>
            <w:vAlign w:val="center"/>
          </w:tcPr>
          <w:p>
            <w:r>
              <w:t>42901</w:t>
            </w:r>
          </w:p>
        </w:tc>
        <w:tc>
          <w:tcPr>
            <w:tcW w:type="dxa" w:w="3360"/>
            <w:vAlign w:val="center"/>
          </w:tcPr>
          <w:p>
            <w:r>
              <w:t>请求过于频繁</w:t>
            </w:r>
          </w:p>
        </w:tc>
        <w:tc>
          <w:tcPr>
            <w:tcW w:type="dxa" w:w="3360"/>
            <w:vAlign w:val="center"/>
          </w:tcPr>
          <w:p>
            <w:r>
              <w:t>网关与业务双层限流，返回Retry-After</w:t>
            </w:r>
          </w:p>
        </w:tc>
      </w:tr>
      <w:tr>
        <w:tc>
          <w:tcPr>
            <w:tcW w:type="dxa" w:w="3360"/>
            <w:vAlign w:val="center"/>
          </w:tcPr>
          <w:p>
            <w:r>
              <w:t>50201</w:t>
            </w:r>
          </w:p>
        </w:tc>
        <w:tc>
          <w:tcPr>
            <w:tcW w:type="dxa" w:w="3360"/>
            <w:vAlign w:val="center"/>
          </w:tcPr>
          <w:p>
            <w:r>
              <w:t>外部系统不可用</w:t>
            </w:r>
          </w:p>
        </w:tc>
        <w:tc>
          <w:tcPr>
            <w:tcW w:type="dxa" w:w="3360"/>
            <w:vAlign w:val="center"/>
          </w:tcPr>
          <w:p>
            <w:r>
              <w:t>触发熔断/降级，提示稍后重试或返回缓存</w:t>
            </w:r>
          </w:p>
        </w:tc>
      </w:tr>
      <w:tr>
        <w:tc>
          <w:tcPr>
            <w:tcW w:type="dxa" w:w="3360"/>
            <w:vAlign w:val="center"/>
          </w:tcPr>
          <w:p>
            <w:r>
              <w:t>50000</w:t>
            </w:r>
          </w:p>
        </w:tc>
        <w:tc>
          <w:tcPr>
            <w:tcW w:type="dxa" w:w="3360"/>
            <w:vAlign w:val="center"/>
          </w:tcPr>
          <w:p>
            <w:r>
              <w:t>系统内部错误</w:t>
            </w:r>
          </w:p>
        </w:tc>
        <w:tc>
          <w:tcPr>
            <w:tcW w:type="dxa" w:w="3360"/>
            <w:vAlign w:val="center"/>
          </w:tcPr>
          <w:p>
            <w:r>
              <w:t>隐藏内部异常细节，关联requestId排障</w:t>
            </w:r>
          </w:p>
        </w:tc>
      </w:tr>
    </w:tbl>
    <w:p/>
    <w:p>
      <w:r>
        <w:t>关键约束包括：统一使用Asia/Shanghai业务时区；所有文本使用UTF-8；接口分页默认pageSize=20且最大100；知识条目更新采用version_no乐观锁；外部系统调用设置3-5秒超时、最多1次重试和熔断降级；涉及个人信息的查询必须写入audit_logs。</w:t>
      </w:r>
    </w:p>
    <w:p>
      <w:pPr>
        <w:pStyle w:val="Heading1"/>
      </w:pPr>
      <w:r>
        <w:t>6. 扩展性设计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扩展方式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type="dxa" w:w="3360"/>
            <w:vAlign w:val="center"/>
          </w:tcPr>
          <w:p>
            <w:r>
              <w:t>问答/NLU服务</w:t>
            </w:r>
          </w:p>
        </w:tc>
        <w:tc>
          <w:tcPr>
            <w:tcW w:type="dxa" w:w="3360"/>
            <w:vAlign w:val="center"/>
          </w:tcPr>
          <w:p>
            <w:r>
              <w:t>K8s HPA按CPU/延迟扩容</w:t>
            </w:r>
          </w:p>
        </w:tc>
        <w:tc>
          <w:tcPr>
            <w:tcW w:type="dxa" w:w="3360"/>
            <w:vAlign w:val="center"/>
          </w:tcPr>
          <w:p>
            <w:r>
              <w:t>考试周、选课期、咨询高峰</w:t>
            </w:r>
          </w:p>
        </w:tc>
      </w:tr>
      <w:tr>
        <w:tc>
          <w:tcPr>
            <w:tcW w:type="dxa" w:w="3360"/>
            <w:vAlign w:val="center"/>
          </w:tcPr>
          <w:p>
            <w:r>
              <w:t>知识检索</w:t>
            </w:r>
          </w:p>
        </w:tc>
        <w:tc>
          <w:tcPr>
            <w:tcW w:type="dxa" w:w="3360"/>
            <w:vAlign w:val="center"/>
          </w:tcPr>
          <w:p>
            <w:r>
              <w:t>ES分片扩容、Milvus集合按领域拆分</w:t>
            </w:r>
          </w:p>
        </w:tc>
        <w:tc>
          <w:tcPr>
            <w:tcW w:type="dxa" w:w="3360"/>
            <w:vAlign w:val="center"/>
          </w:tcPr>
          <w:p>
            <w:r>
              <w:t>知识条目数量和向量规模增长</w:t>
            </w:r>
          </w:p>
        </w:tc>
      </w:tr>
      <w:tr>
        <w:tc>
          <w:tcPr>
            <w:tcW w:type="dxa" w:w="3360"/>
            <w:vAlign w:val="center"/>
          </w:tcPr>
          <w:p>
            <w:r>
              <w:t>MySQL</w:t>
            </w:r>
          </w:p>
        </w:tc>
        <w:tc>
          <w:tcPr>
            <w:tcW w:type="dxa" w:w="3360"/>
            <w:vAlign w:val="center"/>
          </w:tcPr>
          <w:p>
            <w:r>
              <w:t>读写分离、归档历史日志</w:t>
            </w:r>
          </w:p>
        </w:tc>
        <w:tc>
          <w:tcPr>
            <w:tcW w:type="dxa" w:w="3360"/>
            <w:vAlign w:val="center"/>
          </w:tcPr>
          <w:p>
            <w:r>
              <w:t>统计和审计日志增长</w:t>
            </w:r>
          </w:p>
        </w:tc>
      </w:tr>
      <w:tr>
        <w:tc>
          <w:tcPr>
            <w:tcW w:type="dxa" w:w="3360"/>
            <w:vAlign w:val="center"/>
          </w:tcPr>
          <w:p>
            <w:r>
              <w:t>外部系统</w:t>
            </w:r>
          </w:p>
        </w:tc>
        <w:tc>
          <w:tcPr>
            <w:tcW w:type="dxa" w:w="3360"/>
            <w:vAlign w:val="center"/>
          </w:tcPr>
          <w:p>
            <w:r>
              <w:t>适配器模式新增系统连接器</w:t>
            </w:r>
          </w:p>
        </w:tc>
        <w:tc>
          <w:tcPr>
            <w:tcW w:type="dxa" w:w="3360"/>
            <w:vAlign w:val="center"/>
          </w:tcPr>
          <w:p>
            <w:r>
              <w:t>新增OA、宿舍、图书馆等系统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