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详细设计说明书(DDD)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V1.2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安全与约束完善稿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2026-06-10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V1.3；数据库设计说明书(DBDD) V1.3；接口设计说明书(IDD)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编码实现；单元测试；集成测试；部署脚本；运维手册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详细设计说明书(DDD).docx 对应 V1.2；独立版本文件用于版本审计。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</w:tbl>
    <w:p/>
    <w:p>
      <w:pPr>
        <w:pStyle w:val="Heading1"/>
      </w:pPr>
      <w:r>
        <w:t>1. 引言</w:t>
      </w:r>
    </w:p>
    <w:p>
      <w:r>
        <w:t>本文档依据SSDD、DBDD和IDD，对校务问答机器人系统进行模块级详细设计。正式实现口径为Java 17 + Spring Boot 3.x业务服务、Python 3.10 + FastAPI NLU模型服务、MySQL/Redis/Elasticsearch/Milvus/MinIO数据基础设施；不再采用单体FastAPI或SQLite作为生产设计。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模块详细设计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模块/类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技术归属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依赖关系</w:t>
            </w:r>
          </w:p>
        </w:tc>
      </w:tr>
      <w:tr>
        <w:tc>
          <w:tcPr>
            <w:tcW w:type="dxa" w:w="2520"/>
            <w:vAlign w:val="center"/>
          </w:tcPr>
          <w:p>
            <w:r>
              <w:t>GatewayFilter</w:t>
            </w:r>
          </w:p>
        </w:tc>
        <w:tc>
          <w:tcPr>
            <w:tcW w:type="dxa" w:w="2520"/>
            <w:vAlign w:val="center"/>
          </w:tcPr>
          <w:p>
            <w:r>
              <w:t>Spring Cloud Gateway</w:t>
            </w:r>
          </w:p>
        </w:tc>
        <w:tc>
          <w:tcPr>
            <w:tcW w:type="dxa" w:w="2520"/>
            <w:vAlign w:val="center"/>
          </w:tcPr>
          <w:p>
            <w:r>
              <w:t>校验Trace ID、限流、路由转发、统一跨域</w:t>
            </w:r>
          </w:p>
        </w:tc>
        <w:tc>
          <w:tcPr>
            <w:tcW w:type="dxa" w:w="2520"/>
            <w:vAlign w:val="center"/>
          </w:tcPr>
          <w:p>
            <w:r>
              <w:t>调用SecurityFilter和RateLimitPolicy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AuthService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CAS票据校验、JWT签发/刷新/注销、RBAC角色解析</w:t>
            </w:r>
          </w:p>
        </w:tc>
        <w:tc>
          <w:tcPr>
            <w:tcW w:type="dxa" w:w="2520"/>
            <w:vAlign w:val="center"/>
          </w:tcPr>
          <w:p>
            <w:r>
              <w:t>users、audit_logs；实现IDD /auth/*</w:t>
            </w:r>
          </w:p>
        </w:tc>
      </w:tr>
      <w:tr>
        <w:tc>
          <w:tcPr>
            <w:tcW w:type="dxa" w:w="2520"/>
            <w:vAlign w:val="center"/>
          </w:tcPr>
          <w:p>
            <w:r>
              <w:t>UserService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用户资料、角色扩展、家长授权校验</w:t>
            </w:r>
          </w:p>
        </w:tc>
        <w:tc>
          <w:tcPr>
            <w:tcW w:type="dxa" w:w="2520"/>
            <w:vAlign w:val="center"/>
          </w:tcPr>
          <w:p>
            <w:r>
              <w:t>users、students、teachers、parents、parent_authorizations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ConversationService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会话创建、消息持久化、上下文维护</w:t>
            </w:r>
          </w:p>
        </w:tc>
        <w:tc>
          <w:tcPr>
            <w:tcW w:type="dxa" w:w="2520"/>
            <w:vAlign w:val="center"/>
          </w:tcPr>
          <w:p>
            <w:r>
              <w:t>conversations、messages、Redis context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NluClient</w:t>
            </w:r>
          </w:p>
        </w:tc>
        <w:tc>
          <w:tcPr>
            <w:tcW w:type="dxa" w:w="2520"/>
            <w:vAlign w:val="center"/>
          </w:tcPr>
          <w:p>
            <w:r>
              <w:t>Java HTTP Client</w:t>
            </w:r>
          </w:p>
        </w:tc>
        <w:tc>
          <w:tcPr>
            <w:tcW w:type="dxa" w:w="2520"/>
            <w:vAlign w:val="center"/>
          </w:tcPr>
          <w:p>
            <w:r>
              <w:t>调用FastAPI NLU服务并处理超时/降级</w:t>
            </w:r>
          </w:p>
        </w:tc>
        <w:tc>
          <w:tcPr>
            <w:tcW w:type="dxa" w:w="2520"/>
            <w:vAlign w:val="center"/>
          </w:tcPr>
          <w:p>
            <w:r>
              <w:t>internal /nlu/analyze</w:t>
            </w:r>
          </w:p>
        </w:tc>
      </w:tr>
      <w:tr>
        <w:tc>
          <w:tcPr>
            <w:tcW w:type="dxa" w:w="2520"/>
            <w:vAlign w:val="center"/>
          </w:tcPr>
          <w:p>
            <w:r>
              <w:t>NluService</w:t>
            </w:r>
          </w:p>
        </w:tc>
        <w:tc>
          <w:tcPr>
            <w:tcW w:type="dxa" w:w="2520"/>
            <w:vAlign w:val="center"/>
          </w:tcPr>
          <w:p>
            <w:r>
              <w:t>Python/FastAPI</w:t>
            </w:r>
          </w:p>
        </w:tc>
        <w:tc>
          <w:tcPr>
            <w:tcW w:type="dxa" w:w="2520"/>
            <w:vAlign w:val="center"/>
          </w:tcPr>
          <w:p>
            <w:r>
              <w:t>文本预处理、意图识别、实体抽取、Embedding生成</w:t>
            </w:r>
          </w:p>
        </w:tc>
        <w:tc>
          <w:tcPr>
            <w:tcW w:type="dxa" w:w="2520"/>
            <w:vAlign w:val="center"/>
          </w:tcPr>
          <w:p>
            <w:r>
              <w:t>PyTorch/Transformers、Milvus向量写入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知识条目CRUD、版本管理、全文/向量融合检索</w:t>
            </w:r>
          </w:p>
        </w:tc>
        <w:tc>
          <w:tcPr>
            <w:tcW w:type="dxa" w:w="2520"/>
            <w:vAlign w:val="center"/>
          </w:tcPr>
          <w:p>
            <w:r>
              <w:t>knowledge_entries、entry_versions、Elasticsearch、Milvus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EduProxyService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教务/OA/认证平台代理、缓存、熔断与脱敏</w:t>
            </w:r>
          </w:p>
        </w:tc>
        <w:tc>
          <w:tcPr>
            <w:tcW w:type="dxa" w:w="2520"/>
            <w:vAlign w:val="center"/>
          </w:tcPr>
          <w:p>
            <w:r>
              <w:t>external_query_logs、Redis</w:t>
            </w:r>
          </w:p>
        </w:tc>
      </w:tr>
      <w:tr>
        <w:tc>
          <w:tcPr>
            <w:tcW w:type="dxa" w:w="2520"/>
            <w:vAlign w:val="center"/>
          </w:tcPr>
          <w:p>
            <w:r>
              <w:t>SensitiveWordService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敏感词检测、阻断/替换、命中日志</w:t>
            </w:r>
          </w:p>
        </w:tc>
        <w:tc>
          <w:tcPr>
            <w:tcW w:type="dxa" w:w="2520"/>
            <w:vAlign w:val="center"/>
          </w:tcPr>
          <w:p>
            <w:r>
              <w:t>sensitive_words、audit_logs</w:t>
            </w:r>
          </w:p>
        </w:tc>
      </w:tr>
      <w:tr>
        <w:tc>
          <w:tcPr>
            <w:tcW w:type="dxa" w:w="2520"/>
            <w:vAlign w:val="center"/>
          </w:tcPr>
          <w:p>
            <w:r>
              <w:t>UnmatchedQueryService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未命中问题聚合、转知识条目、通知管理员</w:t>
            </w:r>
          </w:p>
        </w:tc>
        <w:tc>
          <w:tcPr>
            <w:tcW w:type="dxa" w:w="2520"/>
            <w:vAlign w:val="center"/>
          </w:tcPr>
          <w:p>
            <w:r>
              <w:t>unmatched_queries、notifications</w:t>
            </w:r>
          </w:p>
        </w:tc>
      </w:tr>
      <w:tr>
        <w:tc>
          <w:tcPr>
            <w:tcW w:type="dxa" w:w="2520"/>
            <w:vAlign w:val="center"/>
          </w:tcPr>
          <w:p>
            <w:r>
              <w:t>AdminStatsService</w:t>
            </w:r>
          </w:p>
        </w:tc>
        <w:tc>
          <w:tcPr>
            <w:tcW w:type="dxa" w:w="2520"/>
            <w:vAlign w:val="center"/>
          </w:tcPr>
          <w:p>
            <w:r>
              <w:t>Java/Spring Boot</w:t>
            </w:r>
          </w:p>
        </w:tc>
        <w:tc>
          <w:tcPr>
            <w:tcW w:type="dxa" w:w="2520"/>
            <w:vAlign w:val="center"/>
          </w:tcPr>
          <w:p>
            <w:r>
              <w:t>趋势、热门问题、命中率、满意度统计</w:t>
            </w:r>
          </w:p>
        </w:tc>
        <w:tc>
          <w:tcPr>
            <w:tcW w:type="dxa" w:w="2520"/>
            <w:vAlign w:val="center"/>
          </w:tcPr>
          <w:p>
            <w:r>
              <w:t>daily_stats、hourly_stats</w:t>
            </w:r>
          </w:p>
        </w:tc>
      </w:tr>
    </w:tbl>
    <w:p/>
    <w:p>
      <w:pPr>
        <w:pStyle w:val="Heading1"/>
      </w:pPr>
      <w:r>
        <w:t>3. 核心处理流程</w:t>
      </w:r>
    </w:p>
    <w:p>
      <w:r>
        <w:rPr>
          <w:rFonts w:ascii="Consolas" w:hAnsi="Consolas" w:eastAsia="Consolas"/>
          <w:sz w:val="18"/>
        </w:rPr>
        <w:t>processMessage(userId, content, conversationId):</w:t>
        <w:br/>
        <w:t xml:space="preserve">  1. AuthService校验JWT并解析角色</w:t>
        <w:br/>
        <w:t xml:space="preserve">  2. ConversationService获取或创建会话，写入用户消息</w:t>
        <w:br/>
        <w:t xml:space="preserve">  3. NluClient调用FastAPI /internal/nlu/analyze，获得intent/entities/confidence</w:t>
        <w:br/>
        <w:t xml:space="preserve">  4. AnswerOrchestrator按意图路由到KnowledgeService或EduProxyService</w:t>
        <w:br/>
        <w:t xml:space="preserve">  5. 结果写入messages/intents/audit_logs，必要时更新统计</w:t>
        <w:br/>
        <w:t xml:space="preserve">  6. REST返回完整答案，SSE按thinking/text/done事件分段返回</w:t>
      </w:r>
    </w:p>
    <w:p>
      <w:pPr>
        <w:pStyle w:val="Heading1"/>
      </w:pPr>
      <w:r>
        <w:t>4. 数据映射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领域对象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数据库表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接口暴露字段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UserDTO</w:t>
            </w:r>
          </w:p>
        </w:tc>
        <w:tc>
          <w:tcPr>
            <w:tcW w:type="dxa" w:w="3360"/>
            <w:vAlign w:val="center"/>
          </w:tcPr>
          <w:p>
            <w:r>
              <w:t>users + 角色扩展表</w:t>
            </w:r>
          </w:p>
        </w:tc>
        <w:tc>
          <w:tcPr>
            <w:tcW w:type="dxa" w:w="3360"/>
            <w:vAlign w:val="center"/>
          </w:tcPr>
          <w:p>
            <w:r>
              <w:t>userId, username, realName, role, permissions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ConversationDTO</w:t>
            </w:r>
          </w:p>
        </w:tc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conversationId, title, channel, lastActivity, messageCount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MessageDTO</w:t>
            </w:r>
          </w:p>
        </w:tc>
        <w:tc>
          <w:tcPr>
            <w:tcW w:type="dxa" w:w="3360"/>
            <w:vAlign w:val="center"/>
          </w:tcPr>
          <w:p>
            <w:r>
              <w:t>messages + intents</w:t>
            </w:r>
          </w:p>
        </w:tc>
        <w:tc>
          <w:tcPr>
            <w:tcW w:type="dxa" w:w="3360"/>
            <w:vAlign w:val="center"/>
          </w:tcPr>
          <w:p>
            <w:r>
              <w:t>messageId, role, content, intentType, confidence, createdAt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KnowledgeEntryDTO</w:t>
            </w:r>
          </w:p>
        </w:tc>
        <w:tc>
          <w:tcPr>
            <w:tcW w:type="dxa" w:w="3360"/>
            <w:vAlign w:val="center"/>
          </w:tcPr>
          <w:p>
            <w:r>
              <w:t>knowledge_entries + categories</w:t>
            </w:r>
          </w:p>
        </w:tc>
        <w:tc>
          <w:tcPr>
            <w:tcW w:type="dxa" w:w="3360"/>
            <w:vAlign w:val="center"/>
          </w:tcPr>
          <w:p>
            <w:r>
              <w:t>entryId, title, categoryId, tags, answerSummary, status, versionNo</w:t>
            </w:r>
          </w:p>
        </w:tc>
      </w:tr>
      <w:tr>
        <w:tc>
          <w:tcPr>
            <w:tcW w:type="dxa" w:w="3360"/>
            <w:vAlign w:val="center"/>
          </w:tcPr>
          <w:p>
            <w:r>
              <w:t>FeedbackDTO</w:t>
            </w:r>
          </w:p>
        </w:tc>
        <w:tc>
          <w:tcPr>
            <w:tcW w:type="dxa" w:w="3360"/>
            <w:vAlign w:val="center"/>
          </w:tcPr>
          <w:p>
            <w:r>
              <w:t>feedbacks</w:t>
            </w:r>
          </w:p>
        </w:tc>
        <w:tc>
          <w:tcPr>
            <w:tcW w:type="dxa" w:w="3360"/>
            <w:vAlign w:val="center"/>
          </w:tcPr>
          <w:p>
            <w:r>
              <w:t>feedbackId, messageId, type, rating, comment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UnmatchedQueryDTO</w:t>
            </w:r>
          </w:p>
        </w:tc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queryId, originalText, occurrenceCount, status, lastSeenAt</w:t>
            </w:r>
          </w:p>
        </w:tc>
      </w:tr>
    </w:tbl>
    <w:p/>
    <w:p>
      <w:pPr>
        <w:pStyle w:val="Heading1"/>
      </w:pPr>
      <w:r>
        <w:t>5. SRS用例实现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用例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实现模块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关键逻辑</w:t>
            </w:r>
          </w:p>
        </w:tc>
      </w:tr>
      <w:tr>
        <w:tc>
          <w:tcPr>
            <w:tcW w:type="dxa" w:w="3360"/>
            <w:vAlign w:val="center"/>
          </w:tcPr>
          <w:p>
            <w:r>
              <w:t>登录认证</w:t>
            </w:r>
          </w:p>
        </w:tc>
        <w:tc>
          <w:tcPr>
            <w:tcW w:type="dxa" w:w="3360"/>
            <w:vAlign w:val="center"/>
          </w:tcPr>
          <w:p>
            <w:r>
              <w:t>GatewayFilter、AuthService</w:t>
            </w:r>
          </w:p>
        </w:tc>
        <w:tc>
          <w:tcPr>
            <w:tcW w:type="dxa" w:w="3360"/>
            <w:vAlign w:val="center"/>
          </w:tcPr>
          <w:p>
            <w:r>
              <w:t>CAS票据验证、JWT签发、角色权限缓存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发送问答</w:t>
            </w:r>
          </w:p>
        </w:tc>
        <w:tc>
          <w:tcPr>
            <w:tcW w:type="dxa" w:w="3360"/>
            <w:vAlign w:val="center"/>
          </w:tcPr>
          <w:p>
            <w:r>
              <w:t>ConversationService、NluClient、AnswerOrchestrator</w:t>
            </w:r>
          </w:p>
        </w:tc>
        <w:tc>
          <w:tcPr>
            <w:tcW w:type="dxa" w:w="3360"/>
            <w:vAlign w:val="center"/>
          </w:tcPr>
          <w:p>
            <w:r>
              <w:t>保存消息、识别意图、检索或代理外部系统、生成回答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管理知识库</w:t>
            </w:r>
          </w:p>
        </w:tc>
        <w:tc>
          <w:tcPr>
            <w:tcW w:type="dxa" w:w="3360"/>
            <w:vAlign w:val="center"/>
          </w:tcPr>
          <w:p>
            <w:r>
              <w:t>KnowledgeService、VersionService</w:t>
            </w:r>
          </w:p>
        </w:tc>
        <w:tc>
          <w:tcPr>
            <w:tcW w:type="dxa" w:w="3360"/>
            <w:vAlign w:val="center"/>
          </w:tcPr>
          <w:p>
            <w:r>
              <w:t>新增/更新/发布/回滚条目，异步同步ES和Milvus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处理未命中</w:t>
            </w:r>
          </w:p>
        </w:tc>
        <w:tc>
          <w:tcPr>
            <w:tcW w:type="dxa" w:w="3360"/>
            <w:vAlign w:val="center"/>
          </w:tcPr>
          <w:p>
            <w:r>
              <w:t>UnmatchedQueryService</w:t>
            </w:r>
          </w:p>
        </w:tc>
        <w:tc>
          <w:tcPr>
            <w:tcW w:type="dxa" w:w="3360"/>
            <w:vAlign w:val="center"/>
          </w:tcPr>
          <w:p>
            <w:r>
              <w:t>按文本hash聚合、转知识条目、通知管理员</w:t>
            </w:r>
          </w:p>
        </w:tc>
      </w:tr>
      <w:tr>
        <w:tc>
          <w:tcPr>
            <w:tcW w:type="dxa" w:w="3360"/>
            <w:vAlign w:val="center"/>
          </w:tcPr>
          <w:p>
            <w:r>
              <w:t>查看统计</w:t>
            </w:r>
          </w:p>
        </w:tc>
        <w:tc>
          <w:tcPr>
            <w:tcW w:type="dxa" w:w="3360"/>
            <w:vAlign w:val="center"/>
          </w:tcPr>
          <w:p>
            <w:r>
              <w:t>AdminStatsService</w:t>
            </w:r>
          </w:p>
        </w:tc>
        <w:tc>
          <w:tcPr>
            <w:tcW w:type="dxa" w:w="3360"/>
            <w:vAlign w:val="center"/>
          </w:tcPr>
          <w:p>
            <w:r>
              <w:t>按日/小时聚合问答量、命中率、满意度</w:t>
            </w:r>
          </w:p>
        </w:tc>
      </w:tr>
    </w:tbl>
    <w:p/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6. 异常与事务设计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知识条目更新</w:t>
            </w:r>
          </w:p>
        </w:tc>
        <w:tc>
          <w:tcPr>
            <w:tcW w:type="dxa" w:w="5040"/>
            <w:vAlign w:val="center"/>
          </w:tcPr>
          <w:p>
            <w:r>
              <w:t>单事务更新knowledge_entries并写entry_versions；version_no不一致返回40901</w:t>
            </w:r>
          </w:p>
        </w:tc>
      </w:tr>
      <w:tr>
        <w:tc>
          <w:tcPr>
            <w:tcW w:type="dxa" w:w="5040"/>
            <w:vAlign w:val="center"/>
          </w:tcPr>
          <w:p>
            <w:r>
              <w:t>外部系统超时</w:t>
            </w:r>
          </w:p>
        </w:tc>
        <w:tc>
          <w:tcPr>
            <w:tcW w:type="dxa" w:w="5040"/>
            <w:vAlign w:val="center"/>
          </w:tcPr>
          <w:p>
            <w:r>
              <w:t>EduProxyService捕获TimeoutException，记录external_query_logs，按缓存策略降级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NLU服务不可用</w:t>
            </w:r>
          </w:p>
        </w:tc>
        <w:tc>
          <w:tcPr>
            <w:tcW w:type="dxa" w:w="5040"/>
            <w:vAlign w:val="center"/>
          </w:tcPr>
          <w:p>
            <w:r>
              <w:t>NluClient触发熔断，降级到关键词规则或返回澄清问题</w:t>
            </w:r>
          </w:p>
        </w:tc>
      </w:tr>
      <w:tr>
        <w:tc>
          <w:tcPr>
            <w:tcW w:type="dxa" w:w="5040"/>
            <w:vAlign w:val="center"/>
          </w:tcPr>
          <w:p>
            <w:r>
              <w:t>敏感词命中</w:t>
            </w:r>
          </w:p>
        </w:tc>
        <w:tc>
          <w:tcPr>
            <w:tcW w:type="dxa" w:w="5040"/>
            <w:vAlign w:val="center"/>
          </w:tcPr>
          <w:p>
            <w:r>
              <w:t>SensitiveWordService按策略阻断或替换，写audit_logs</w:t>
            </w:r>
          </w:p>
        </w:tc>
      </w:tr>
      <w:tr>
        <w:tc>
          <w:tcPr>
            <w:tcW w:type="dxa" w:w="5040"/>
            <w:vAlign w:val="center"/>
          </w:tcPr>
          <w:p>
            <w:r>
              <w:t>权限不足</w:t>
            </w:r>
          </w:p>
        </w:tc>
        <w:tc>
          <w:tcPr>
            <w:tcW w:type="dxa" w:w="5040"/>
            <w:vAlign w:val="center"/>
          </w:tcPr>
          <w:p>
            <w:r>
              <w:t>SecurityFilter返回40301，不暴露资源存在性</w:t>
            </w:r>
          </w:p>
        </w:tc>
      </w:tr>
    </w:tbl>
    <w:p/>
    <w:p>
      <w:pPr>
        <w:pStyle w:val="Heading1"/>
      </w:pPr>
      <w:r>
        <w:t>7. 构建与部署设计</w:t>
      </w:r>
    </w:p>
    <w:p>
      <w:r>
        <w:rPr>
          <w:rFonts w:ascii="Consolas" w:hAnsi="Consolas" w:eastAsia="Consolas"/>
          <w:sz w:val="18"/>
        </w:rPr>
        <w:t>services/</w:t>
        <w:br/>
        <w:t xml:space="preserve">  gateway-service/        Java 17 Spring Cloud Gateway</w:t>
        <w:br/>
        <w:t xml:space="preserve">  auth-service/           Java 17 Spring Boot</w:t>
        <w:br/>
        <w:t xml:space="preserve">  conversation-service/   Java 17 Spring Boot</w:t>
        <w:br/>
        <w:t xml:space="preserve">  knowledge-service/      Java 17 Spring Boot + ES/Milvus client</w:t>
        <w:br/>
        <w:t xml:space="preserve">  admin-service/          Java 17 Spring Boot</w:t>
        <w:br/>
        <w:t xml:space="preserve">  nlu-service/            Python 3.10 FastAPI + PyTorch</w:t>
        <w:br/>
        <w:t>frontends/</w:t>
        <w:br/>
        <w:t xml:space="preserve">  user-app/               uni-app Vue 3 TypeScript</w:t>
        <w:br/>
        <w:t xml:space="preserve">  admin-web/              React 18 Ant Design Pro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