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ns1="http://schemas.openxmlformats.org/markup-compatibility/2006" xmlns:ns2="http://schemas.microsoft.com/office/word/2010/wordml" xmlns:ns3="http://schemas.openxmlformats.org/drawingml/2006/wordprocessingDrawing" xmlns:ns4="http://schemas.openxmlformats.org/drawingml/2006/main" xmlns:ns5="http://schemas.microsoft.com/office/word/2010/wordprocessingShape" xmlns:ns6="urn:schemas-microsoft-com:vml" xmlns:ns7="urn:schemas-microsoft-com:office:office" xmlns:w="http://schemas.openxmlformats.org/wordprocessingml/2006/main" ns1:Ignorable="w14 w15 wp14">
  <w:body>
    <w:tbl>
      <w:tblPr>
        <w:tblStyle w:val="4"/>
        <w:tblpPr w:leftFromText="180" w:rightFromText="180" w:vertAnchor="page" w:horzAnchor="margin" w:tblpXSpec="center" w:tblpY="2328"/>
        <w:tblOverlap w:val="never"/>
        <w:tblW w:w="10173" w:type="dxa"/>
        <w:tblInd w:w="0" w:type="dxa"/>
        <w:tbl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single" w:color="000000" w:themeColor="text1" w:sz="4" w:space="0"/>
          <w:insideV w:val="single" w:color="000000" w:themeColor="text1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4961"/>
        <w:gridCol w:w="1418"/>
        <w:gridCol w:w="2268"/>
      </w:tblGrid>
      <w:tr ns2:paraId="4CF11BBA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</w:trPr>
        <w:tc>
          <w:tcPr>
            <w:tcW w:w="1526" w:type="dxa"/>
            <w:vAlign w:val="center"/>
          </w:tcPr>
          <w:p ns2:paraId="30E5C52B">
            <w:pPr>
              <w:jc w:val="center"/>
              <w:rPr>
                <w:rFonts w:ascii="微软雅黑" w:hAnsi="微软雅黑" w:eastAsia="微软雅黑" w:cs="微软雅黑"/>
                <w:kern w:val="0"/>
                <w:sz w:val="24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</w:rPr>
              <w:t>会议主题</w:t>
            </w:r>
          </w:p>
        </w:tc>
        <w:tc>
          <w:tcPr>
            <w:tcW w:w="8647" w:type="dxa"/>
            <w:gridSpan w:val="3"/>
            <w:vAlign w:val="center"/>
          </w:tcPr>
          <w:p>
            <w:pPr>
              <w:spacing w:after="120" w:line="360" w:lineRule="auto"/>
            </w:pPr>
            <w:r>
              <w:rPr>
                <w:rFonts w:ascii="微软雅黑" w:hAnsi="微软雅黑" w:eastAsia="微软雅黑" w:cs="微软雅黑"/>
                <w:sz w:val="24"/>
                <w:szCs w:val="24"/>
              </w:rPr>
              <w:t>UML工具与翻转课堂汇报准备</w:t>
            </w:r>
          </w:p>
        </w:tc>
      </w:tr>
      <w:tr ns2:paraId="30AC3AC9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</w:trPr>
        <w:tc>
          <w:tcPr>
            <w:tcW w:w="1526" w:type="dxa"/>
            <w:vAlign w:val="center"/>
          </w:tcPr>
          <w:p ns2:paraId="55A0B9C2">
            <w:pPr>
              <w:jc w:val="center"/>
              <w:rPr>
                <w:rFonts w:ascii="微软雅黑" w:hAnsi="微软雅黑" w:eastAsia="微软雅黑" w:cs="微软雅黑"/>
                <w:kern w:val="0"/>
                <w:sz w:val="24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</w:rPr>
              <w:t>参会人员</w:t>
            </w:r>
          </w:p>
        </w:tc>
        <w:tc>
          <w:tcPr>
            <w:tcW w:w="8647" w:type="dxa"/>
            <w:gridSpan w:val="3"/>
            <w:vAlign w:val="center"/>
          </w:tcPr>
          <w:p>
            <w:pPr>
              <w:spacing w:after="120" w:line="360" w:lineRule="auto"/>
            </w:pPr>
            <w:r>
              <w:rPr>
                <w:rFonts w:ascii="微软雅黑" w:hAnsi="微软雅黑" w:eastAsia="微软雅黑" w:cs="微软雅黑"/>
                <w:sz w:val="24"/>
                <w:szCs w:val="24"/>
              </w:rPr>
              <w:t>许霖烽，王振恺，虞子琰，袁萍，冯沛一</w:t>
            </w:r>
          </w:p>
        </w:tc>
      </w:tr>
      <w:tr ns2:paraId="2AC0CDD6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90" w:hRule="atLeast"/>
        </w:trPr>
        <w:tc>
          <w:tcPr>
            <w:tcW w:w="1526" w:type="dxa"/>
            <w:vAlign w:val="center"/>
          </w:tcPr>
          <w:p ns2:paraId="2ED8267A">
            <w:pPr>
              <w:jc w:val="center"/>
              <w:rPr>
                <w:rFonts w:ascii="微软雅黑" w:hAnsi="微软雅黑" w:eastAsia="微软雅黑" w:cs="微软雅黑"/>
                <w:kern w:val="0"/>
                <w:sz w:val="24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</w:rPr>
              <w:t>会议时间</w:t>
            </w:r>
          </w:p>
        </w:tc>
        <w:tc>
          <w:tcPr>
            <w:tcW w:w="4961" w:type="dxa"/>
            <w:vAlign w:val="center"/>
          </w:tcPr>
          <w:p>
            <w:pPr>
              <w:spacing w:after="120" w:line="360" w:lineRule="auto"/>
            </w:pPr>
            <w:r>
              <w:rPr>
                <w:rFonts w:ascii="微软雅黑" w:hAnsi="微软雅黑" w:eastAsia="微软雅黑" w:cs="微软雅黑"/>
                <w:sz w:val="24"/>
                <w:szCs w:val="24"/>
              </w:rPr>
              <w:t>2026.3.27</w:t>
            </w:r>
          </w:p>
        </w:tc>
        <w:tc>
          <w:tcPr>
            <w:tcW w:w="1418" w:type="dxa"/>
            <w:vAlign w:val="center"/>
          </w:tcPr>
          <w:p ns2:paraId="5C7BEAAC">
            <w:pPr>
              <w:jc w:val="center"/>
              <w:rPr>
                <w:rFonts w:ascii="微软雅黑" w:hAnsi="微软雅黑" w:eastAsia="微软雅黑" w:cs="微软雅黑"/>
                <w:kern w:val="0"/>
                <w:sz w:val="24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</w:rPr>
              <w:t>主持人</w:t>
            </w:r>
          </w:p>
        </w:tc>
        <w:tc>
          <w:tcPr>
            <w:tcW w:w="2268" w:type="dxa"/>
            <w:vAlign w:val="center"/>
          </w:tcPr>
          <w:p>
            <w:pPr>
              <w:spacing w:after="120" w:line="360" w:lineRule="auto"/>
              <w:jc w:val="center"/>
            </w:pPr>
            <w:r>
              <w:rPr>
                <w:rFonts w:ascii="微软雅黑" w:hAnsi="微软雅黑" w:eastAsia="微软雅黑" w:cs="微软雅黑"/>
                <w:sz w:val="24"/>
                <w:szCs w:val="24"/>
              </w:rPr>
              <w:t>许霖烽</w:t>
            </w:r>
          </w:p>
        </w:tc>
      </w:tr>
      <w:tr ns2:paraId="4E2E6385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0" w:hRule="atLeast"/>
        </w:trPr>
        <w:tc>
          <w:tcPr>
            <w:tcW w:w="1526" w:type="dxa"/>
            <w:vAlign w:val="center"/>
          </w:tcPr>
          <w:p ns2:paraId="679C5247">
            <w:pPr>
              <w:jc w:val="center"/>
              <w:rPr>
                <w:rFonts w:ascii="微软雅黑" w:hAnsi="微软雅黑" w:eastAsia="微软雅黑" w:cs="微软雅黑"/>
                <w:kern w:val="0"/>
                <w:sz w:val="24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</w:rPr>
              <w:t>会议地点</w:t>
            </w:r>
          </w:p>
        </w:tc>
        <w:tc>
          <w:tcPr>
            <w:tcW w:w="4961" w:type="dxa"/>
            <w:vAlign w:val="center"/>
          </w:tcPr>
          <w:p>
            <w:pPr>
              <w:spacing w:after="120" w:line="360" w:lineRule="auto"/>
            </w:pPr>
            <w:r>
              <w:rPr>
                <w:rFonts w:ascii="微软雅黑" w:hAnsi="微软雅黑" w:eastAsia="微软雅黑" w:cs="微软雅黑"/>
                <w:sz w:val="24"/>
                <w:szCs w:val="24"/>
              </w:rPr>
              <w:t>理四-424</w:t>
            </w:r>
          </w:p>
        </w:tc>
        <w:tc>
          <w:tcPr>
            <w:tcW w:w="1418" w:type="dxa"/>
            <w:vAlign w:val="center"/>
          </w:tcPr>
          <w:p ns2:paraId="71DF8929">
            <w:pPr>
              <w:jc w:val="center"/>
              <w:rPr>
                <w:rFonts w:ascii="微软雅黑" w:hAnsi="微软雅黑" w:eastAsia="微软雅黑" w:cs="微软雅黑"/>
                <w:kern w:val="0"/>
                <w:sz w:val="24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</w:rPr>
              <w:t>记录人</w:t>
            </w:r>
          </w:p>
        </w:tc>
        <w:tc>
          <w:tcPr>
            <w:tcW w:w="2268" w:type="dxa"/>
            <w:vAlign w:val="center"/>
          </w:tcPr>
          <w:p>
            <w:pPr>
              <w:spacing w:after="120" w:line="360" w:lineRule="auto"/>
              <w:jc w:val="center"/>
            </w:pPr>
            <w:r>
              <w:rPr>
                <w:rFonts w:ascii="微软雅黑" w:hAnsi="微软雅黑" w:eastAsia="微软雅黑" w:cs="微软雅黑"/>
                <w:sz w:val="24"/>
                <w:szCs w:val="24"/>
              </w:rPr>
              <w:t>袁萍</w:t>
            </w:r>
          </w:p>
        </w:tc>
      </w:tr>
      <w:tr ns2:paraId="2EE2D24E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504" w:hRule="atLeast"/>
        </w:trPr>
        <w:tc>
          <w:tcPr>
            <w:tcW w:w="1526" w:type="dxa"/>
            <w:vAlign w:val="center"/>
          </w:tcPr>
          <w:p ns2:paraId="3C9EB232">
            <w:pPr>
              <w:jc w:val="center"/>
              <w:rPr>
                <w:rFonts w:ascii="微软雅黑" w:hAnsi="微软雅黑" w:eastAsia="微软雅黑" w:cs="微软雅黑"/>
                <w:kern w:val="0"/>
                <w:sz w:val="24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</w:rPr>
              <w:t>会</w:t>
            </w:r>
          </w:p>
          <w:p ns2:paraId="3BD1B39E">
            <w:pPr>
              <w:jc w:val="center"/>
              <w:rPr>
                <w:rFonts w:ascii="微软雅黑" w:hAnsi="微软雅黑" w:eastAsia="微软雅黑" w:cs="微软雅黑"/>
                <w:kern w:val="0"/>
                <w:sz w:val="24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</w:rPr>
              <w:t>议</w:t>
            </w:r>
          </w:p>
          <w:p ns2:paraId="1C400A69">
            <w:pPr>
              <w:jc w:val="center"/>
              <w:rPr>
                <w:rFonts w:ascii="微软雅黑" w:hAnsi="微软雅黑" w:eastAsia="微软雅黑" w:cs="微软雅黑"/>
                <w:kern w:val="0"/>
                <w:sz w:val="24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</w:rPr>
              <w:t>主</w:t>
            </w:r>
          </w:p>
          <w:p ns2:paraId="7359E8B4">
            <w:pPr>
              <w:jc w:val="center"/>
              <w:rPr>
                <w:rFonts w:ascii="微软雅黑" w:hAnsi="微软雅黑" w:eastAsia="微软雅黑" w:cs="微软雅黑"/>
                <w:kern w:val="0"/>
                <w:sz w:val="24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</w:rPr>
              <w:t>要</w:t>
            </w:r>
          </w:p>
          <w:p ns2:paraId="3C5F1EEF">
            <w:pPr>
              <w:jc w:val="center"/>
              <w:rPr>
                <w:rFonts w:ascii="微软雅黑" w:hAnsi="微软雅黑" w:eastAsia="微软雅黑" w:cs="微软雅黑"/>
                <w:kern w:val="0"/>
                <w:sz w:val="24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</w:rPr>
              <w:t>内</w:t>
            </w:r>
          </w:p>
          <w:p ns2:paraId="36BE8651">
            <w:pPr>
              <w:jc w:val="center"/>
              <w:rPr>
                <w:rFonts w:ascii="微软雅黑" w:hAnsi="微软雅黑" w:eastAsia="微软雅黑" w:cs="微软雅黑"/>
                <w:kern w:val="0"/>
                <w:sz w:val="24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</w:rPr>
              <w:t>容</w:t>
            </w:r>
          </w:p>
        </w:tc>
        <w:tc>
          <w:tcPr>
            <w:tcW w:w="8647" w:type="dxa"/>
            <w:gridSpan w:val="3"/>
            <w:vAlign w:val="center"/>
          </w:tcPr>
          <w:p>
            <w:pPr>
              <w:spacing w:after="0" w:line="360" w:lineRule="auto"/>
              <w:jc w:val="both"/>
            </w:pPr>
            <w:r>
              <w:rPr>
                <w:rFonts w:ascii="宋体" w:hAnsi="宋体" w:eastAsia="宋体" w:cs="宋体"/>
                <w:b/>
                <w:sz w:val="28"/>
                <w:szCs w:val="28"/>
              </w:rPr>
              <w:t>（一）会议主要内容</w:t>
            </w:r>
          </w:p>
          <w:p>
            <w:pPr>
              <w:spacing w:after="120" w:line="360" w:lineRule="auto"/>
              <w:ind w:firstLine="480"/>
            </w:pPr>
            <w:r>
              <w:rPr>
                <w:rFonts w:ascii="宋体" w:hAnsi="宋体" w:eastAsia="宋体" w:cs="宋体"/>
                <w:sz w:val="24"/>
                <w:szCs w:val="24"/>
              </w:rPr>
              <w:t>1. 对上周任务进行总结打分：许霖烽98分，虞子琰96分，王振恺98分，袁萍95分，冯沛一97分。</w:t>
            </w:r>
          </w:p>
          <w:p>
            <w:pPr>
              <w:spacing w:after="120" w:line="360" w:lineRule="auto"/>
              <w:ind w:firstLine="480"/>
            </w:pPr>
            <w:r>
              <w:rPr>
                <w:rFonts w:ascii="宋体" w:hAnsi="宋体" w:eastAsia="宋体" w:cs="宋体"/>
                <w:sz w:val="24"/>
                <w:szCs w:val="24"/>
              </w:rPr>
              <w:t>2. 团队确认UML翻转课堂内容结构需覆盖创建历史、发展历程、核心概念、结构类图、行为类图、应用场景、未来展望和互动问题。</w:t>
            </w:r>
          </w:p>
          <w:p>
            <w:pPr>
              <w:spacing w:after="120" w:line="360" w:lineRule="auto"/>
              <w:ind w:firstLine="480"/>
            </w:pPr>
            <w:r>
              <w:rPr>
                <w:rFonts w:ascii="宋体" w:hAnsi="宋体" w:eastAsia="宋体" w:cs="宋体"/>
                <w:sz w:val="24"/>
                <w:szCs w:val="24"/>
              </w:rPr>
              <w:t>3. 讨论PPT页数、讲稿节奏和互动问题设置，确保汇报内容能够支撑约40分钟课堂展示。</w:t>
            </w:r>
          </w:p>
          <w:p>
            <w:pPr>
              <w:spacing w:after="120" w:line="360" w:lineRule="auto"/>
              <w:ind w:firstLine="480"/>
            </w:pPr>
            <w:r>
              <w:rPr>
                <w:rFonts w:ascii="宋体" w:hAnsi="宋体" w:eastAsia="宋体" w:cs="宋体"/>
                <w:sz w:val="24"/>
                <w:szCs w:val="24"/>
              </w:rPr>
              <w:t>4. 明确UML示例图需符合符号规范，参考文献和引用格式需统一。</w:t>
            </w:r>
          </w:p>
          <w:p>
            <w:pPr>
              <w:spacing w:after="0" w:line="360" w:lineRule="auto"/>
              <w:jc w:val="both"/>
            </w:pPr>
            <w:r>
              <w:rPr>
                <w:rFonts w:ascii="宋体" w:hAnsi="宋体" w:eastAsia="宋体" w:cs="宋体"/>
                <w:b/>
                <w:sz w:val="28"/>
                <w:szCs w:val="28"/>
              </w:rPr>
              <w:t>（二）任务分工</w:t>
            </w:r>
          </w:p>
          <w:p>
            <w:pPr>
              <w:spacing w:after="120" w:line="360" w:lineRule="auto"/>
              <w:ind w:firstLine="480"/>
            </w:pPr>
            <w:r>
              <w:rPr>
                <w:rFonts w:ascii="宋体" w:hAnsi="宋体" w:eastAsia="宋体" w:cs="宋体"/>
                <w:sz w:val="24"/>
                <w:szCs w:val="24"/>
              </w:rPr>
              <w:t>许霖烽：撰写完整演讲文稿，确保与PPT对应；组织演讲演练，把控语速和互动；补充UML应用场景、未来展望和Q&amp;A内容。</w:t>
            </w:r>
          </w:p>
          <w:p>
            <w:pPr>
              <w:spacing w:after="120" w:line="360" w:lineRule="auto"/>
              <w:ind w:firstLine="480"/>
            </w:pPr>
            <w:r>
              <w:rPr>
                <w:rFonts w:ascii="宋体" w:hAnsi="宋体" w:eastAsia="宋体" w:cs="宋体"/>
                <w:sz w:val="24"/>
                <w:szCs w:val="24"/>
              </w:rPr>
              <w:t>虞子琰：统筹PPT整体框架和版式，整合成员内容，审核逻辑与格式，控制PPT页数和互动问题位置。</w:t>
            </w:r>
          </w:p>
          <w:p>
            <w:pPr>
              <w:spacing w:after="120" w:line="360" w:lineRule="auto"/>
              <w:ind w:firstLine="480"/>
            </w:pPr>
            <w:r>
              <w:rPr>
                <w:rFonts w:ascii="宋体" w:hAnsi="宋体" w:eastAsia="宋体" w:cs="宋体"/>
                <w:sz w:val="24"/>
                <w:szCs w:val="24"/>
              </w:rPr>
              <w:t>王振恺：撰写UML行为类图内容，覆盖序列图、状态图和活动图；设计第4、5个互动问题；整理参考文献。</w:t>
            </w:r>
          </w:p>
          <w:p>
            <w:pPr>
              <w:spacing w:after="120" w:line="360" w:lineRule="auto"/>
              <w:ind w:firstLine="480"/>
            </w:pPr>
            <w:r>
              <w:rPr>
                <w:rFonts w:ascii="宋体" w:hAnsi="宋体" w:eastAsia="宋体" w:cs="宋体"/>
                <w:sz w:val="24"/>
                <w:szCs w:val="24"/>
              </w:rPr>
              <w:t>袁萍：撰写UML结构类图内容，覆盖类图、用例图及其他结构类图；设计第2、3个互动问题；优化图表清晰度。</w:t>
            </w:r>
          </w:p>
          <w:p>
            <w:pPr>
              <w:spacing w:after="120" w:line="360" w:lineRule="auto"/>
              <w:ind w:firstLine="480"/>
            </w:pPr>
            <w:r>
              <w:rPr>
                <w:rFonts w:ascii="宋体" w:hAnsi="宋体" w:eastAsia="宋体" w:cs="宋体"/>
                <w:sz w:val="24"/>
                <w:szCs w:val="24"/>
              </w:rPr>
              <w:t>冯沛一：撰写UML基础内容，覆盖创建历史、发展历程、方法战争背景和核心概念；设计第1个互动问题及引导话术。</w:t>
            </w:r>
          </w:p>
          <w:p>
            <w:pPr>
              <w:spacing w:after="0" w:line="360" w:lineRule="auto"/>
              <w:jc w:val="both"/>
            </w:pPr>
            <w:r>
              <w:rPr>
                <w:rFonts w:ascii="宋体" w:hAnsi="宋体" w:eastAsia="宋体" w:cs="宋体"/>
                <w:b/>
                <w:sz w:val="28"/>
                <w:szCs w:val="28"/>
              </w:rPr>
              <w:t>（三）会议决议</w:t>
            </w:r>
          </w:p>
          <w:p>
            <w:pPr>
              <w:spacing w:after="120" w:line="360" w:lineRule="auto"/>
              <w:ind w:firstLine="480"/>
            </w:pPr>
            <w:r>
              <w:rPr>
                <w:rFonts w:ascii="宋体" w:hAnsi="宋体" w:eastAsia="宋体" w:cs="宋体"/>
                <w:sz w:val="24"/>
                <w:szCs w:val="24"/>
              </w:rPr>
              <w:t>各成员需在2026-03-30</w:t>
            </w:r>
          </w:p>
          <w:p>
            <w:pPr>
              <w:spacing w:after="120" w:line="360" w:lineRule="auto"/>
              <w:ind w:firstLine="480"/>
            </w:pPr>
            <w:r>
              <w:rPr>
                <w:rFonts w:ascii="宋体" w:hAnsi="宋体" w:eastAsia="宋体" w:cs="宋体"/>
                <w:sz w:val="24"/>
                <w:szCs w:val="24"/>
              </w:rPr>
              <w:t>20:00前提交负责内容，2026-04-03进行汇报复盘与材料归档。</w:t>
            </w:r>
          </w:p>
        </w:tc>
      </w:tr>
      <w:tr ns2:paraId="3C1CDD00">
        <w:tblPrEx>
          <w:tblBorders>
            <w:top w:val="single" w:color="000000" w:themeColor="text1" w:sz="4" w:space="0"/>
            <w:left w:val="single" w:color="000000" w:themeColor="text1" w:sz="4" w:space="0"/>
            <w:bottom w:val="single" w:color="000000" w:themeColor="text1" w:sz="4" w:space="0"/>
            <w:right w:val="single" w:color="000000" w:themeColor="text1" w:sz="4" w:space="0"/>
            <w:insideH w:val="single" w:color="000000" w:themeColor="text1" w:sz="4" w:space="0"/>
            <w:insideV w:val="single" w:color="000000" w:themeColor="text1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814" w:hRule="atLeast"/>
        </w:trPr>
        <w:tc>
          <w:tcPr>
            <w:tcW w:w="1526" w:type="dxa"/>
            <w:vAlign w:val="center"/>
          </w:tcPr>
          <w:p ns2:paraId="49298606">
            <w:pPr>
              <w:jc w:val="center"/>
              <w:rPr>
                <w:rFonts w:ascii="微软雅黑" w:hAnsi="微软雅黑" w:eastAsia="微软雅黑" w:cs="微软雅黑"/>
                <w:kern w:val="0"/>
                <w:sz w:val="24"/>
                <w:szCs w:val="24"/>
              </w:rPr>
            </w:pPr>
            <w:r>
              <w:rPr>
                <w:rFonts w:hint="eastAsia" w:ascii="微软雅黑" w:hAnsi="微软雅黑" w:eastAsia="微软雅黑" w:cs="微软雅黑"/>
                <w:kern w:val="0"/>
                <w:sz w:val="24"/>
                <w:szCs w:val="24"/>
              </w:rPr>
              <w:t>备注</w:t>
            </w:r>
          </w:p>
        </w:tc>
        <w:tc>
          <w:tcPr>
            <w:tcW w:w="8647" w:type="dxa"/>
            <w:gridSpan w:val="3"/>
            <w:vAlign w:val="center"/>
          </w:tcPr>
          <w:p>
            <w:pPr>
              <w:spacing w:after="120" w:line="360" w:lineRule="auto"/>
            </w:pPr>
            <w:r>
              <w:rPr>
                <w:rFonts w:ascii="微软雅黑" w:hAnsi="微软雅黑" w:eastAsia="微软雅黑" w:cs="微软雅黑"/>
                <w:sz w:val="24"/>
                <w:szCs w:val="24"/>
              </w:rPr>
              <w:t>会议编号：G10-2026-04；本次会议重点为UML翻转课堂材料分工和交付节奏确认。</w:t>
            </w:r>
          </w:p>
        </w:tc>
      </w:tr>
    </w:tbl>
    <w:p ns2:paraId="1BB0573E">
      <w:r>
        <w:rPr>
          <w:rFonts w:ascii="微软雅黑" w:hAnsi="微软雅黑" w:eastAsia="微软雅黑" w:cs="微软雅黑"/>
          <w:kern w:val="0"/>
          <w:sz w:val="20"/>
          <w:szCs w:val="20"/>
        </w:rPr>
        <ns1:AlternateContent>
          <ns1:Choice Requires="wps">
            <w:drawing>
              <ns3:anchor distT="0" distB="0" distL="114300" distR="114300" simplePos="0" relativeHeight="251659264" behindDoc="0" locked="0" layoutInCell="1" allowOverlap="1">
                <ns3:simplePos x="0" y="0"/>
                <ns3:positionH relativeFrom="column">
                  <ns3:posOffset>-643890</ns3:posOffset>
                </ns3:positionH>
                <ns3:positionV relativeFrom="paragraph">
                  <ns3:posOffset>-448945</ns3:posOffset>
                </ns3:positionV>
                <ns3:extent cx="6546850" cy="1010285"/>
                <ns3:effectExtent l="0" t="0" r="0" b="0"/>
                <ns3:wrapNone/>
                <ns3:docPr id="20" name="文本框 20"/>
                <ns3:cNvGraphicFramePr/>
                <ns4:graphic>
                  <ns4:graphicData uri="http://schemas.microsoft.com/office/word/2010/wordprocessingShape">
                    <ns5:wsp>
                      <ns5:cNvSpPr txBox="1"/>
                      <ns5:spPr>
                        <ns4:xfrm>
                          <ns4:off x="0" y="0"/>
                          <ns4:ext cx="6546850" cy="1010285"/>
                        </ns4:xfrm>
                        <ns4:prstGeom prst="rect">
                          <ns4:avLst/>
                        </ns4:prstGeom>
                        <ns4:noFill/>
                        <ns4:ln w="6350">
                          <ns4:noFill/>
                        </ns4:ln>
                        <ns4:effectLst/>
                      </ns5:spPr>
                      <ns5:style>
                        <ns4:lnRef idx="0">
                          <ns4:schemeClr val="accent1"/>
                        </ns4:lnRef>
                        <ns4:fillRef idx="0">
                          <ns4:schemeClr val="accent1"/>
                        </ns4:fillRef>
                        <ns4:effectRef idx="0">
                          <ns4:schemeClr val="accent1"/>
                        </ns4:effectRef>
                        <ns4:fontRef idx="minor">
                          <ns4:schemeClr val="dk1"/>
                        </ns4:fontRef>
                      </ns5:style>
                      <ns5:txbx>
                        <w:txbxContent>
                          <w:p ns2:paraId="518572BD">
                            <w:pPr>
                              <w:spacing w:after="156" w:afterLines="50"/>
                              <w:jc w:val="center"/>
                              <w:rPr>
                                <w:rFonts w:ascii="宋体" w:hAnsi="宋体" w:eastAsia="宋体"/>
                                <w:b/>
                                <w:sz w:val="56"/>
                                <w:szCs w:val="56"/>
                              </w:rPr>
                            </w:pPr>
                            <w:r>
                              <w:rPr>
                                <w:rFonts w:hint="eastAsia" w:ascii="宋体" w:hAnsi="宋体" w:eastAsia="宋体"/>
                                <w:b/>
                                <w:sz w:val="56"/>
                                <w:szCs w:val="56"/>
                              </w:rPr>
                              <w:t>会 议 纪 要</w:t>
                            </w:r>
                          </w:p>
                          <w:p ns2:paraId="03EE037B">
                            <w:pPr>
                              <w:jc w:val="right"/>
                              <w:rPr>
                                <w:rFonts w:ascii="宋体" w:hAnsi="宋体" w:eastAsia="宋体"/>
                                <w:b/>
                                <w:sz w:val="20"/>
                                <w:szCs w:val="21"/>
                              </w:rPr>
                            </w:pPr>
                          </w:p>
                        </w:txbxContent>
                      </ns5:txbx>
                      <ns5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ns4:noAutofit/>
                      </ns5:bodyPr>
                    </ns5:wsp>
                  </ns4:graphicData>
                </ns4:graphic>
              </ns3:anchor>
            </w:drawing>
          </ns1:Choice>
          <ns1:Fallback>
            <w:pict>
              <ns6:shape id="_x0000_s1026" ns7:spid="_x0000_s1026" ns7:spt="202" type="#_x0000_t202" style="position:absolute;left:0pt;margin-left:-50.7pt;margin-top:-35.35pt;height:79.55pt;width:515.5pt;z-index:251659264;mso-width-relative:page;mso-height-relative:page;" filled="f" stroked="f" coordsize="21600,21600" ns7:gfxdata="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">
                <ns6:fill on="f" focussize="0,0"/>
                <ns6:stroke on="f" weight="0.5pt"/>
                <ns6:imagedata ns7:title=""/>
                <ns7:lock ns6:ext="edit" aspectratio="f"/>
                <ns6:textbox>
                  <w:txbxContent>
                    <w:p ns2:paraId="518572BD">
                      <w:pPr>
                        <w:spacing w:after="156" w:afterLines="50"/>
                        <w:jc w:val="center"/>
                        <w:rPr>
                          <w:rFonts w:ascii="宋体" w:hAnsi="宋体" w:eastAsia="宋体"/>
                          <w:b/>
                          <w:sz w:val="56"/>
                          <w:szCs w:val="56"/>
                        </w:rPr>
                      </w:pPr>
                      <w:r>
                        <w:rPr>
                          <w:rFonts w:hint="eastAsia" w:ascii="宋体" w:hAnsi="宋体" w:eastAsia="宋体"/>
                          <w:b/>
                          <w:sz w:val="56"/>
                          <w:szCs w:val="56"/>
                        </w:rPr>
                        <w:t>会 议 纪 要</w:t>
                      </w:r>
                    </w:p>
                    <w:p ns2:paraId="03EE037B">
                      <w:pPr>
                        <w:jc w:val="right"/>
                        <w:rPr>
                          <w:rFonts w:ascii="宋体" w:hAnsi="宋体" w:eastAsia="宋体"/>
                          <w:b/>
                          <w:sz w:val="20"/>
                          <w:szCs w:val="21"/>
                        </w:rPr>
                      </w:pPr>
                    </w:p>
                  </w:txbxContent>
                </ns6:textbox>
              </ns6:shape>
            </w:pict>
          </ns1:Fallback>
        </ns1:AlternateContent>
      </w:r>
    </w:p>
    <w:p ns2:paraId="3A3E54E9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5A28B94"/>
    <w:multiLevelType w:val="multilevel"/>
    <w:tmpl w:val="95A28B94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">
    <w:nsid w:val="675627AA"/>
    <w:multiLevelType w:val="multilevel"/>
    <w:tmpl w:val="675627AA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260668D0"/>
    <w:rsid w:val="6C8924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5">
    <w:name w:val="Default Paragraph Font"/>
    <w:semiHidden/>
    <w:qFormat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4">
    <w:name w:val="Table Grid"/>
    <w:basedOn w:val="3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6">
    <w:name w:val="Strong"/>
    <w:basedOn w:val="5"/>
    <w:qFormat/>
    <w:uiPriority w:val="0"/>
    <w:rPr>
      <w:b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370</Words>
  <Characters>395</Characters>
  <Lines>0</Lines>
  <Paragraphs>0</Paragraphs>
  <TotalTime>0</TotalTime>
  <ScaleCrop>false</ScaleCrop>
  <LinksUpToDate>false</LinksUpToDate>
  <CharactersWithSpaces>402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2026-06-16T06:53:00Z</dcterms:created>
  <dc:creator>xlf20</dc:creator>
  <cp:lastModifiedBy>。</cp:lastModifiedBy>
  <dcterms:modified xsi:type="dcterms:W3CDTF">2026-06-16T06:55:30Z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KSOTemplateDocerSaveRecord">
    <vt:lpwstr>eyJoZGlkIjoiMDdiM2RmMWVjMmZmMjM4ODM2OGEwNjEzZTEzODk2ZGUiLCJ1c2VySWQiOiI4MjAxNzg0NjAifQ==</vt:lpwstr>
  </property>
  <property fmtid="{D5CDD505-2E9C-101B-9397-08002B2CF9AE}" pid="4" name="ICV">
    <vt:lpwstr>08313F5FE8AF41FBA709E307794E2008_12</vt:lpwstr>
  </property>
</Properties>
</file>