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"测试计划</w:t>
      </w:r>
      <w:r>
        <w:rPr>
          <w:rStyle w:val="VerbatimChar"/>
        </w:rPr>
        <w:t xml:space="preserve"> (TP)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"2026-06-05"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测试计划</w:t>
      </w:r>
      <w:r>
        <w:rPr>
          <w:rStyle w:val="VerbatimChar"/>
        </w:rPr>
        <w:t xml:space="preserve"> (TP)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SRA2026-TP-V13 |</w:t>
      </w:r>
      <w:r>
        <w:br/>
      </w:r>
      <w:r>
        <w:rPr>
          <w:rFonts w:hint="eastAsia"/>
        </w:rPr>
        <w:t xml:space="preserve">文档版本</w:t>
      </w:r>
      <w:r>
        <w:t xml:space="preserve"> | V1.3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测试基线版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2026-06-05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建立测试策略、环境假设、通过准则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补充测试执行计划、环境和数据准备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计划评审中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CCB </w:t>
            </w:r>
            <w:r>
              <w:rPr>
                <w:rFonts w:hint="eastAsia"/>
              </w:rPr>
              <w:t xml:space="preserve">变更统一需求/用例口径并补充性能测试配置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发布测试计划基线，作为最终交付副本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形成测试计划基线，固化范围、数量、准则、进度和原文件映射关系。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基线说明"/>
    <w:p>
      <w:pPr>
        <w:pStyle w:val="Heading2"/>
      </w:pPr>
      <w:r>
        <w:rPr>
          <w:rFonts w:hint="eastAsia"/>
        </w:rPr>
        <w:t xml:space="preserve">基线说明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本文件为测试计划基线版。</w:t>
      </w:r>
      <w:r>
        <w:rPr>
          <w:rStyle w:val="VerbatimChar"/>
          <w:rFonts w:hint="eastAsia"/>
        </w:rPr>
        <w:t xml:space="preserve">测试计划(TP).docx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测试计划(TP)_V1.3.docx</w:t>
      </w:r>
      <w:r>
        <w:t xml:space="preserve"> </w:t>
      </w:r>
      <w:r>
        <w:rPr>
          <w:rFonts w:hint="eastAsia"/>
        </w:rPr>
        <w:t xml:space="preserve">内容一致，均作为</w:t>
      </w:r>
      <w:r>
        <w:t xml:space="preserve"> V1.3 </w:t>
      </w:r>
      <w:r>
        <w:rPr>
          <w:rFonts w:hint="eastAsia"/>
        </w:rPr>
        <w:t xml:space="preserve">最终交付副本。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测试计划以</w:t>
      </w:r>
      <w:r>
        <w:t xml:space="preserve"> SRS-BASELINE-V1.0 </w:t>
      </w:r>
      <w:r>
        <w:rPr>
          <w:rFonts w:hint="eastAsia"/>
        </w:rPr>
        <w:t xml:space="preserve">为依据，并吸收</w:t>
      </w:r>
      <w:r>
        <w:t xml:space="preserve"> 2026-05-30 CCB </w:t>
      </w:r>
      <w:r>
        <w:rPr>
          <w:rFonts w:hint="eastAsia"/>
        </w:rPr>
        <w:t xml:space="preserve">已关闭的测试相关变更。</w:t>
      </w:r>
    </w:p>
    <w:bookmarkEnd w:id="11"/>
    <w:bookmarkStart w:id="12" w:name="测试范围与统一口径"/>
    <w:p>
      <w:pPr>
        <w:pStyle w:val="Heading2"/>
      </w:pPr>
      <w:r>
        <w:rPr>
          <w:rFonts w:hint="eastAsia"/>
        </w:rPr>
        <w:t xml:space="preserve">测试范围与统一口径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本轮测试结论只适用于</w:t>
      </w:r>
      <w:r>
        <w:t xml:space="preserve"> </w:t>
      </w:r>
      <w:r>
        <w:rPr>
          <w:rFonts w:hint="eastAsia"/>
        </w:rPr>
        <w:t xml:space="preserve">MVP/原型和需求工程课程交付件，不替代生产上线前的全量联调、容量测试和安全测评。</w:t>
      </w:r>
    </w:p>
    <w:bookmarkEnd w:id="12"/>
    <w:bookmarkStart w:id="13" w:name="基线测试计划"/>
    <w:p>
      <w:pPr>
        <w:pStyle w:val="Heading2"/>
      </w:pPr>
      <w:r>
        <w:rPr>
          <w:rFonts w:hint="eastAsia"/>
        </w:rPr>
        <w:t xml:space="preserve">基线测试计划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策略确认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明确范围、方法、准入/准出准则</w:t>
            </w:r>
          </w:p>
        </w:tc>
        <w:tc>
          <w:tcPr/>
          <w:p>
            <w:pPr>
              <w:pStyle w:val="Compact"/>
            </w:pPr>
            <w:r>
              <w:t xml:space="preserve">TP 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初测执行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验证核心</w:t>
            </w:r>
            <w:r>
              <w:t xml:space="preserve"> </w:t>
            </w:r>
            <w:r>
              <w:rPr>
                <w:rFonts w:hint="eastAsia"/>
              </w:rPr>
              <w:t xml:space="preserve">API、NLU、前端构建和</w:t>
            </w:r>
            <w:r>
              <w:t xml:space="preserve"> E2E </w:t>
            </w:r>
            <w:r>
              <w:rPr>
                <w:rFonts w:hint="eastAsia"/>
              </w:rPr>
              <w:t xml:space="preserve">冒烟</w:t>
            </w:r>
          </w:p>
        </w:tc>
        <w:tc>
          <w:tcPr/>
          <w:p>
            <w:pPr>
              <w:pStyle w:val="Compact"/>
            </w:pPr>
            <w:r>
              <w:t xml:space="preserve">TR 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修复复测</w:t>
            </w:r>
          </w:p>
        </w:tc>
        <w:tc>
          <w:tcPr/>
          <w:p>
            <w:pPr>
              <w:pStyle w:val="Compact"/>
            </w:pPr>
            <w:r>
              <w:t xml:space="preserve">2026-05-25 </w:t>
            </w:r>
            <w:r>
              <w:rPr>
                <w:rFonts w:hint="eastAsia"/>
              </w:rPr>
              <w:t xml:space="preserve">至</w:t>
            </w:r>
            <w:r>
              <w:t xml:space="preserve"> 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关闭初测缺陷并吸收</w:t>
            </w:r>
            <w:r>
              <w:t xml:space="preserve"> CCB </w:t>
            </w: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t xml:space="preserve">TP/TCS/TR 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系统回归</w:t>
            </w:r>
          </w:p>
        </w:tc>
        <w:tc>
          <w:tcPr/>
          <w:p>
            <w:pPr>
              <w:pStyle w:val="Compact"/>
            </w:pPr>
            <w:r>
              <w:t xml:space="preserve">2026-06-01 </w:t>
            </w:r>
            <w:r>
              <w:rPr>
                <w:rFonts w:hint="eastAsia"/>
              </w:rPr>
              <w:t xml:space="preserve">至</w:t>
            </w:r>
            <w:r>
              <w:t xml:space="preserve"> 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78 </w:t>
            </w:r>
            <w:r>
              <w:rPr>
                <w:rFonts w:hint="eastAsia"/>
              </w:rPr>
              <w:t xml:space="preserve">条用例回归和覆盖矩阵检查</w:t>
            </w:r>
          </w:p>
        </w:tc>
        <w:tc>
          <w:tcPr/>
          <w:p>
            <w:pPr>
              <w:pStyle w:val="Compact"/>
            </w:pPr>
            <w:r>
              <w:t xml:space="preserve">TCS 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结项确认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汇总质量结论、限制与遗留风险</w:t>
            </w:r>
          </w:p>
        </w:tc>
        <w:tc>
          <w:tcPr/>
          <w:p>
            <w:pPr>
              <w:pStyle w:val="Compact"/>
            </w:pPr>
            <w:r>
              <w:t xml:space="preserve">TR V1.3</w:t>
            </w:r>
          </w:p>
        </w:tc>
      </w:tr>
    </w:tbl>
    <w:bookmarkEnd w:id="13"/>
    <w:bookmarkStart w:id="14" w:name="通过准则"/>
    <w:p>
      <w:pPr>
        <w:pStyle w:val="Heading2"/>
      </w:pPr>
      <w:r>
        <w:rPr>
          <w:rFonts w:hint="eastAsia"/>
        </w:rPr>
        <w:t xml:space="preserve">通过准则</w:t>
      </w:r>
    </w:p>
    <w:p>
      <w:pPr>
        <w:pStyle w:val="Compact"/>
        <w:numPr>
          <w:ilvl w:val="0"/>
          <w:numId w:val="1003"/>
        </w:numPr>
      </w:pPr>
      <w:r>
        <w:t xml:space="preserve">78 </w:t>
      </w:r>
      <w:r>
        <w:rPr>
          <w:rFonts w:hint="eastAsia"/>
        </w:rPr>
        <w:t xml:space="preserve">条测试用例全部执行；P0</w:t>
      </w:r>
      <w:r>
        <w:t xml:space="preserve"> </w:t>
      </w:r>
      <w:r>
        <w:rPr>
          <w:rFonts w:hint="eastAsia"/>
        </w:rPr>
        <w:t xml:space="preserve">用例</w:t>
      </w:r>
      <w:r>
        <w:t xml:space="preserve"> 100% </w:t>
      </w:r>
      <w:r>
        <w:rPr>
          <w:rFonts w:hint="eastAsia"/>
        </w:rPr>
        <w:t xml:space="preserve">通过，P1</w:t>
      </w:r>
      <w:r>
        <w:t xml:space="preserve"> </w:t>
      </w:r>
      <w:r>
        <w:rPr>
          <w:rFonts w:hint="eastAsia"/>
        </w:rPr>
        <w:t xml:space="preserve">用例通过率不低于</w:t>
      </w:r>
      <w:r>
        <w:t xml:space="preserve"> 95%。</w:t>
      </w:r>
    </w:p>
    <w:p>
      <w:pPr>
        <w:pStyle w:val="Compact"/>
        <w:numPr>
          <w:ilvl w:val="0"/>
          <w:numId w:val="1003"/>
        </w:numPr>
      </w:pPr>
      <w:r>
        <w:t xml:space="preserve">P0/P1 </w:t>
      </w:r>
      <w:r>
        <w:rPr>
          <w:rFonts w:hint="eastAsia"/>
        </w:rPr>
        <w:t xml:space="preserve">缺陷全部关闭；P2/P3</w:t>
      </w:r>
      <w:r>
        <w:t xml:space="preserve"> </w:t>
      </w:r>
      <w:r>
        <w:rPr>
          <w:rFonts w:hint="eastAsia"/>
        </w:rPr>
        <w:t xml:space="preserve">缺陷若延期，必须在</w:t>
      </w:r>
      <w:r>
        <w:t xml:space="preserve"> TR </w:t>
      </w:r>
      <w:r>
        <w:rPr>
          <w:rFonts w:hint="eastAsia"/>
        </w:rPr>
        <w:t xml:space="preserve">中记录影响和后续计划。</w:t>
      </w:r>
    </w:p>
    <w:p>
      <w:pPr>
        <w:pStyle w:val="Compact"/>
        <w:numPr>
          <w:ilvl w:val="0"/>
          <w:numId w:val="1003"/>
        </w:numPr>
      </w:pPr>
      <w:r>
        <w:t xml:space="preserve">NLU </w:t>
      </w:r>
      <w:r>
        <w:rPr>
          <w:rFonts w:hint="eastAsia"/>
        </w:rPr>
        <w:t xml:space="preserve">核心意图识别准确率不低于</w:t>
      </w:r>
      <w:r>
        <w:t xml:space="preserve"> </w:t>
      </w:r>
      <w:r>
        <w:rPr>
          <w:rFonts w:hint="eastAsia"/>
        </w:rPr>
        <w:t xml:space="preserve">85%；基础</w:t>
      </w:r>
      <w:r>
        <w:t xml:space="preserve"> API </w:t>
      </w:r>
      <w:r>
        <w:rPr>
          <w:rFonts w:hint="eastAsia"/>
        </w:rPr>
        <w:t xml:space="preserve">平均响应不高于</w:t>
      </w:r>
      <w:r>
        <w:t xml:space="preserve"> 3 </w:t>
      </w:r>
      <w:r>
        <w:rPr>
          <w:rFonts w:hint="eastAsia"/>
        </w:rPr>
        <w:t xml:space="preserve">秒，P95</w:t>
      </w:r>
      <w:r>
        <w:t xml:space="preserve"> </w:t>
      </w:r>
      <w:r>
        <w:rPr>
          <w:rFonts w:hint="eastAsia"/>
        </w:rPr>
        <w:t xml:space="preserve">不高于</w:t>
      </w:r>
      <w:r>
        <w:t xml:space="preserve"> 5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安全测试无高危/严重问题；认证、鉴权和输入校验相关用例必须通过。</w:t>
      </w:r>
    </w:p>
    <w:bookmarkEnd w:id="14"/>
    <w:bookmarkStart w:id="15" w:name="最终风险说明"/>
    <w:p>
      <w:pPr>
        <w:pStyle w:val="Heading2"/>
      </w:pPr>
      <w:r>
        <w:rPr>
          <w:rFonts w:hint="eastAsia"/>
        </w:rPr>
        <w:t xml:space="preserve">最终风险说明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真实教务、OA、一卡通、图书馆接口尚未全量联调，生产上线前需补充联调测试。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本地</w:t>
      </w:r>
      <w:r>
        <w:t xml:space="preserve"> SQLite </w:t>
      </w:r>
      <w:r>
        <w:rPr>
          <w:rFonts w:hint="eastAsia"/>
        </w:rPr>
        <w:t xml:space="preserve">与目标</w:t>
      </w:r>
      <w:r>
        <w:t xml:space="preserve"> MySQL/Redis/Elasticsearch </w:t>
      </w:r>
      <w:r>
        <w:rPr>
          <w:rFonts w:hint="eastAsia"/>
        </w:rPr>
        <w:t xml:space="preserve">架构存在差异，生产性能结论需在预发布环境复测。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移动端真机矩阵未完全覆盖，本轮以桌面</w:t>
      </w:r>
      <w:r>
        <w:t xml:space="preserve"> Chromium </w:t>
      </w:r>
      <w:r>
        <w:rPr>
          <w:rFonts w:hint="eastAsia"/>
        </w:rPr>
        <w:t xml:space="preserve">和响应式检查作为课程原型验证依据。</w:t>
      </w:r>
    </w:p>
    <w:bookmarkEnd w:id="15"/>
    <w:bookmarkStart w:id="16" w:name="审批"/>
    <w:p>
      <w:pPr>
        <w:pStyle w:val="Heading2"/>
      </w:pPr>
      <w:r>
        <w:rPr>
          <w:rFonts w:hint="eastAsia"/>
        </w:rPr>
        <w:t xml:space="preserve">审批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同意发布</w:t>
            </w:r>
            <w:r>
              <w:t xml:space="preserve"> V1.3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确认与</w:t>
            </w:r>
            <w:r>
              <w:t xml:space="preserve"> SRS/CR </w:t>
            </w:r>
            <w:r>
              <w:rPr>
                <w:rFonts w:hint="eastAsia"/>
              </w:rPr>
              <w:t xml:space="preserve">口径一致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确认测试环境和缺陷状态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2026-06-19T14:49:26Z</dcterms:created>
  <dcterms:modified xsi:type="dcterms:W3CDTF">2026-06-19T14:49:26Z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