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可行性分析报告farv1.2"/>
    <w:p>
      <w:pPr>
        <w:pStyle w:val="Heading1"/>
      </w:pPr>
      <w:r>
        <w:rPr>
          <w:rFonts w:hint="eastAsia"/>
        </w:rPr>
        <w:t xml:space="preserve">可行性分析报告（FAR）V1.2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智慧校园助手（SRA2026）校务问答机器人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SRA2026-FAR-V1.2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校园信息中心、教务处、学工部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承担单位</w:t>
            </w:r>
          </w:p>
        </w:tc>
        <w:tc>
          <w:tcPr/>
          <w:p>
            <w:pPr>
              <w:pStyle w:val="Compac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项目需求分析团队</w:t>
            </w:r>
          </w:p>
        </w:tc>
      </w:tr>
    </w:tbl>
    <w:bookmarkStart w:id="9" w:name="版本修订记录"/>
    <w:p>
      <w:pPr>
        <w:pStyle w:val="Heading2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建立可行性分析框架，完成项目背景、初步目标、初步技术与组织可行性判断。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根据用户调研补充用户群体、问题场景、方案比较和阶段实施建议。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补充成本收益估算、非功能指标、风险矩阵和合规控制措施，形成评审稿。</w:t>
            </w:r>
          </w:p>
        </w:tc>
      </w:tr>
    </w:tbl>
    <w:bookmarkEnd w:id="9"/>
    <w:bookmarkStart w:id="12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校务信息服务存在信息入口分散、重复咨询较多、人工响应受工作时间限制、政策解释口径不一致等问题。建设校务问答机器人，有助于将高频校务问题转化为可复用知识资产，并通过自然语言交互降低用户查询门槛。</w:t>
      </w:r>
    </w:p>
    <w:p>
      <w:pPr>
        <w:pStyle w:val="BodyText"/>
      </w:pPr>
      <w:r>
        <w:rPr>
          <w:rFonts w:hint="eastAsia"/>
        </w:rPr>
        <w:t xml:space="preserve">本项目采用大语言模型、语义检索和校务知识库相结合的方式，面向学生、教师、辅导员、行政人员、家长和访客提供问答服务。V1.2版本在前两个版本基础上细化成本收益、非功能指标和风险控制，用于项目阶段评审。</w:t>
      </w:r>
    </w:p>
    <w:bookmarkEnd w:id="10"/>
    <w:bookmarkStart w:id="11" w:name="建设原则"/>
    <w:p>
      <w:pPr>
        <w:pStyle w:val="Heading3"/>
      </w:pPr>
      <w:r>
        <w:t xml:space="preserve">1.2 </w:t>
      </w:r>
      <w:r>
        <w:rPr>
          <w:rFonts w:hint="eastAsia"/>
        </w:rPr>
        <w:t xml:space="preserve">建设原则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先高频、后扩展：先覆盖高频公开校务咨询，再扩展到个性化数据查询。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先知识库、后接口：先建立可审核知识库，再逐步接入业务系统。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先准确、后智能：优先保证回答依据清晰、口径统一，再提升对话体验。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数据最小化：除必要身份识别和服务日志外，不额外采集个人敏感数据。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人工可接管：对模型无法确认的问题，应提供转人工或部门联系方式。</w:t>
      </w:r>
    </w:p>
    <w:bookmarkEnd w:id="11"/>
    <w:bookmarkEnd w:id="12"/>
    <w:bookmarkStart w:id="15" w:name="项目范围"/>
    <w:p>
      <w:pPr>
        <w:pStyle w:val="Heading2"/>
      </w:pPr>
      <w:r>
        <w:t xml:space="preserve">2. </w:t>
      </w:r>
      <w:r>
        <w:rPr>
          <w:rFonts w:hint="eastAsia"/>
        </w:rPr>
        <w:t xml:space="preserve">项目范围</w:t>
      </w:r>
    </w:p>
    <w:bookmarkStart w:id="13" w:name="范围内内容"/>
    <w:p>
      <w:pPr>
        <w:pStyle w:val="Heading3"/>
      </w:pPr>
      <w:r>
        <w:t xml:space="preserve">2.1 </w:t>
      </w:r>
      <w:r>
        <w:rPr>
          <w:rFonts w:hint="eastAsia"/>
        </w:rPr>
        <w:t xml:space="preserve">范围内内容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高频FAQ、制度解释、办事流程、公开通知查询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自然语言提问、常见问题入口、历史记录、点赞/纠错/反馈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知识条目新增、修改、审核、发布、下线和版本记录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咨询量、热点问题、未命中问题、低评分回答统计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统一认证、角色权限、日志审计、敏感信息脱敏</w:t>
            </w:r>
          </w:p>
        </w:tc>
      </w:tr>
    </w:tbl>
    <w:bookmarkEnd w:id="13"/>
    <w:bookmarkStart w:id="14" w:name="范围外内容"/>
    <w:p>
      <w:pPr>
        <w:pStyle w:val="Heading3"/>
      </w:pPr>
      <w:r>
        <w:t xml:space="preserve">2.2 </w:t>
      </w:r>
      <w:r>
        <w:rPr>
          <w:rFonts w:hint="eastAsia"/>
        </w:rPr>
        <w:t xml:space="preserve">范围外内容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不在课程阶段接入真实生产系统和真实个人数据。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不替代职能部门的正式审批、解释和人工服务职责。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不承诺覆盖所有政策细节和所有历史通知。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不在首期建设复杂业务办理流程，仅提供咨询和引导。</w:t>
      </w:r>
    </w:p>
    <w:bookmarkEnd w:id="14"/>
    <w:bookmarkEnd w:id="15"/>
    <w:bookmarkStart w:id="19" w:name="技术可行性分析"/>
    <w:p>
      <w:pPr>
        <w:pStyle w:val="Heading2"/>
      </w:pPr>
      <w:r>
        <w:t xml:space="preserve">3. </w:t>
      </w:r>
      <w:r>
        <w:rPr>
          <w:rFonts w:hint="eastAsia"/>
        </w:rPr>
        <w:t xml:space="preserve">技术可行性分析</w:t>
      </w:r>
    </w:p>
    <w:bookmarkStart w:id="16" w:name="总体技术方案"/>
    <w:p>
      <w:pPr>
        <w:pStyle w:val="Heading3"/>
      </w:pPr>
      <w:r>
        <w:t xml:space="preserve">3.1 </w:t>
      </w:r>
      <w:r>
        <w:rPr>
          <w:rFonts w:hint="eastAsia"/>
        </w:rPr>
        <w:t xml:space="preserve">总体技术方案</w:t>
      </w:r>
    </w:p>
    <w:p>
      <w:pPr>
        <w:pStyle w:val="FirstParagraph"/>
      </w:pPr>
      <w:r>
        <w:rPr>
          <w:rFonts w:hint="eastAsia"/>
        </w:rPr>
        <w:t xml:space="preserve">系统拟采用前后端分离架构，前端提供聊天式问答和管理后台，后端提供问答服务、知识检索、权限控制、统计分析和接口适配。知识检索可采用向量检索和关键词检索结合的方式，模型回答必须基于检索结果生成，并在答案中尽量提示来源或适用范围。</w:t>
      </w:r>
    </w:p>
    <w:bookmarkEnd w:id="16"/>
    <w:bookmarkStart w:id="17" w:name="技术组件评估"/>
    <w:p>
      <w:pPr>
        <w:pStyle w:val="Heading3"/>
      </w:pPr>
      <w:r>
        <w:t xml:space="preserve">3.2 </w:t>
      </w:r>
      <w:r>
        <w:rPr>
          <w:rFonts w:hint="eastAsia"/>
        </w:rPr>
        <w:t xml:space="preserve">技术组件评估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Web和移动端浏览器均可实现，后续可扩展微信小程序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适合处理口语化提问和政策长文本检索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大语言模型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可提升回答自然度，但需通过知识库、提示词和审核机制约束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可使用关系数据库保存结构化条目和版本记录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可对接CAS/OAuth2.0并结合RBAC实现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取决于接口开放情况，首期可采用模拟数据和缓存机制</w:t>
            </w:r>
          </w:p>
        </w:tc>
      </w:tr>
    </w:tbl>
    <w:bookmarkEnd w:id="17"/>
    <w:bookmarkStart w:id="18" w:name="关键非功能指标"/>
    <w:p>
      <w:pPr>
        <w:pStyle w:val="Heading3"/>
      </w:pPr>
      <w:r>
        <w:t xml:space="preserve">3.3 </w:t>
      </w:r>
      <w:r>
        <w:rPr>
          <w:rFonts w:hint="eastAsia"/>
        </w:rPr>
        <w:t xml:space="preserve">关键非功能指标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文本问答响应时间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知识库命中场景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数据查询响应时间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含外部接口调用时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系统可用率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生产建设目标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知识库答案正确率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以评审样本和用户反馈统计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针对常见意图测试集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单用户频率限制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30次/分钟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防止滥用和异常请求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技术可行性结论：可行。系统核心能力可通过现有Web技术、数据库、检索技术和LLM服务实现；主要挑战在知识质量、权限控制和外部接口协调。</w:t>
      </w:r>
    </w:p>
    <w:bookmarkEnd w:id="18"/>
    <w:bookmarkEnd w:id="19"/>
    <w:bookmarkStart w:id="23" w:name="经济可行性分析"/>
    <w:p>
      <w:pPr>
        <w:pStyle w:val="Heading2"/>
      </w:pPr>
      <w:r>
        <w:t xml:space="preserve">4. </w:t>
      </w:r>
      <w:r>
        <w:rPr>
          <w:rFonts w:hint="eastAsia"/>
        </w:rPr>
        <w:t xml:space="preserve">经济可行性分析</w:t>
      </w:r>
    </w:p>
    <w:bookmarkStart w:id="20" w:name="成本估算"/>
    <w:p>
      <w:pPr>
        <w:pStyle w:val="Heading3"/>
      </w:pPr>
      <w:r>
        <w:t xml:space="preserve">4.1 </w:t>
      </w:r>
      <w:r>
        <w:rPr>
          <w:rFonts w:hint="eastAsia"/>
        </w:rPr>
        <w:t xml:space="preserve">成本估算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生产阶段参考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人员投入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需求调研、设计、开发、测试、文档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小组成员投入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4至6人，约3至6个月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FAQ整理、制度梳理、标注和审核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需各部门持续参与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服务器、数据库、模型推理资源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本地或模拟环境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校内私有云或专用资源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权限设计、日志审计、测评整改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等保测评与安全加固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内容维护、故障处理、模型优化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不纳入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需长期人员支持</w:t>
            </w:r>
          </w:p>
        </w:tc>
      </w:tr>
    </w:tbl>
    <w:bookmarkEnd w:id="20"/>
    <w:bookmarkStart w:id="21" w:name="收益分析"/>
    <w:p>
      <w:pPr>
        <w:pStyle w:val="Heading3"/>
      </w:pPr>
      <w:r>
        <w:t xml:space="preserve">4.2 </w:t>
      </w:r>
      <w:r>
        <w:rPr>
          <w:rFonts w:hint="eastAsia"/>
        </w:rPr>
        <w:t xml:space="preserve">收益分析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用户可直接通过自然语言获取校务信息，减少搜索和电话咨询时间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人工减负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高频重复问题由系统承担，人工窗口处理复杂问题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热点问题统计可反映制度理解难点和服务流程问题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知识沉淀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将分散制度、通知和经验问答沉淀为结构化知识资产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服务形象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体现学校智慧校园建设能力，改善用户体验</w:t>
            </w:r>
          </w:p>
        </w:tc>
      </w:tr>
    </w:tbl>
    <w:bookmarkEnd w:id="21"/>
    <w:bookmarkStart w:id="22" w:name="经济性结论"/>
    <w:p>
      <w:pPr>
        <w:pStyle w:val="Heading3"/>
      </w:pPr>
      <w:r>
        <w:t xml:space="preserve">4.3 </w:t>
      </w:r>
      <w:r>
        <w:rPr>
          <w:rFonts w:hint="eastAsia"/>
        </w:rPr>
        <w:t xml:space="preserve">经济性结论</w:t>
      </w:r>
    </w:p>
    <w:p>
      <w:pPr>
        <w:pStyle w:val="FirstParagraph"/>
      </w:pPr>
      <w:r>
        <w:rPr>
          <w:rFonts w:hint="eastAsia"/>
        </w:rPr>
        <w:t xml:space="preserve">本项目不宜仅以直接财务回报衡量。作为校园公共信息服务系统，其主要收益体现在服务质量、管理效率和知识资产沉淀。采用分期建设、优先覆盖高频场景的方式，可以控制投入并较快形成可见效果。</w:t>
      </w:r>
    </w:p>
    <w:p>
      <w:pPr>
        <w:pStyle w:val="BodyText"/>
      </w:pPr>
      <w:r>
        <w:rPr>
          <w:rFonts w:hint="eastAsia"/>
        </w:rPr>
        <w:t xml:space="preserve">经济可行性结论：可行。</w:t>
      </w:r>
    </w:p>
    <w:bookmarkEnd w:id="22"/>
    <w:bookmarkEnd w:id="23"/>
    <w:bookmarkStart w:id="26" w:name="操作可行性分析"/>
    <w:p>
      <w:pPr>
        <w:pStyle w:val="Heading2"/>
      </w:pPr>
      <w:r>
        <w:t xml:space="preserve">5. </w:t>
      </w:r>
      <w:r>
        <w:rPr>
          <w:rFonts w:hint="eastAsia"/>
        </w:rPr>
        <w:t xml:space="preserve">操作可行性分析</w:t>
      </w:r>
    </w:p>
    <w:bookmarkStart w:id="24" w:name="用户接受度"/>
    <w:p>
      <w:pPr>
        <w:pStyle w:val="Heading3"/>
      </w:pPr>
      <w:r>
        <w:t xml:space="preserve">5.1 </w:t>
      </w:r>
      <w:r>
        <w:rPr>
          <w:rFonts w:hint="eastAsia"/>
        </w:rPr>
        <w:t xml:space="preserve">用户接受度</w:t>
      </w:r>
    </w:p>
    <w:p>
      <w:pPr>
        <w:pStyle w:val="FirstParagraph"/>
      </w:pPr>
      <w:r>
        <w:rPr>
          <w:rFonts w:hint="eastAsia"/>
        </w:rPr>
        <w:t xml:space="preserve">聊天式问答入口对主要用户群体具有较高可接受性。学生和教师可通过自然语言提问减少查找成本；行政人员可通过后台维护知识和查看统计结果；家长和访客可在无需复杂登录的情况下查询公开信息。</w:t>
      </w:r>
    </w:p>
    <w:bookmarkEnd w:id="24"/>
    <w:bookmarkStart w:id="25" w:name="运营机制"/>
    <w:p>
      <w:pPr>
        <w:pStyle w:val="Heading3"/>
      </w:pPr>
      <w:r>
        <w:t xml:space="preserve">5.2 </w:t>
      </w:r>
      <w:r>
        <w:rPr>
          <w:rFonts w:hint="eastAsia"/>
        </w:rPr>
        <w:t xml:space="preserve">运营机制</w:t>
      </w:r>
    </w:p>
    <w:p>
      <w:pPr>
        <w:pStyle w:val="FirstParagraph"/>
      </w:pPr>
      <w:r>
        <w:rPr>
          <w:rFonts w:hint="eastAsia"/>
        </w:rPr>
        <w:t xml:space="preserve">为保证系统长期有效，应建立以下机制：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知识条目必须标明来源、适用对象、生效日期和维护部门。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重要政策条目需经部门管理员审核后发布。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对低评分回答和未命中问题定期复盘。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对过期通知和失效流程设置自动提醒或人工检查。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高风险问题应默认转人工处理，不由模型直接判断。</w:t>
      </w:r>
    </w:p>
    <w:p>
      <w:pPr>
        <w:pStyle w:val="FirstParagraph"/>
      </w:pPr>
      <w:r>
        <w:rPr>
          <w:rFonts w:hint="eastAsia"/>
        </w:rPr>
        <w:t xml:space="preserve">操作可行性结论：可行，需配套知识治理和部门协作流程。</w:t>
      </w:r>
    </w:p>
    <w:bookmarkEnd w:id="25"/>
    <w:bookmarkEnd w:id="26"/>
    <w:bookmarkStart w:id="27" w:name="法律与合规可行性分析"/>
    <w:p>
      <w:pPr>
        <w:pStyle w:val="Heading2"/>
      </w:pPr>
      <w:r>
        <w:t xml:space="preserve">6. </w:t>
      </w:r>
      <w:r>
        <w:rPr>
          <w:rFonts w:hint="eastAsia"/>
        </w:rPr>
        <w:t xml:space="preserve">法律与合规可行性分析</w:t>
      </w:r>
    </w:p>
    <w:p>
      <w:pPr>
        <w:pStyle w:val="FirstParagraph"/>
      </w:pPr>
      <w:r>
        <w:rPr>
          <w:rFonts w:hint="eastAsia"/>
        </w:rPr>
        <w:t xml:space="preserve">系统应遵守个人信息保护、网络安全、数据安全和教育管理相关要求。重点控制措施如下：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最小化采集、用户授权、敏感字段脱敏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数据分级分类、访问控制、备份恢复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HTTPS传输、接口鉴权、日志审计、异常告警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校内数据不用于无关用途，生产数据不出校内受控环境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敏感词过滤、来源标注、人工审核和投诉处理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法律与合规可行性结论：可行，但需在设计阶段落实安全需求。</w:t>
      </w:r>
    </w:p>
    <w:bookmarkEnd w:id="27"/>
    <w:bookmarkStart w:id="28" w:name="风险矩阵"/>
    <w:p>
      <w:pPr>
        <w:pStyle w:val="Heading2"/>
      </w:pPr>
      <w:r>
        <w:t xml:space="preserve">7. </w:t>
      </w:r>
      <w:r>
        <w:rPr>
          <w:rFonts w:hint="eastAsia"/>
        </w:rPr>
        <w:t xml:space="preserve">风险矩阵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优先建设高频场景，按部门补充知识条目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回答与政策原文不一致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强制引用知识来源，设置审核和纠错流程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外部接口对接延期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首期使用模拟接口和缓存数据，降低依赖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用户反馈处理不及时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建立反馈处理SLA和责任人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模型输出不当内容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敏感词过滤、提示词约束、人工兜底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运维资源不足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采用分期建设，明确上线后的维护角色</w:t>
            </w:r>
          </w:p>
        </w:tc>
      </w:tr>
    </w:tbl>
    <w:bookmarkEnd w:id="28"/>
    <w:bookmarkStart w:id="29" w:name="实施建议"/>
    <w:p>
      <w:pPr>
        <w:pStyle w:val="Heading2"/>
      </w:pPr>
      <w:r>
        <w:t xml:space="preserve">8. </w:t>
      </w:r>
      <w:r>
        <w:rPr>
          <w:rFonts w:hint="eastAsia"/>
        </w:rPr>
        <w:t xml:space="preserve">实施建议</w:t>
      </w:r>
    </w:p>
    <w:p>
      <w:pPr>
        <w:pStyle w:val="FirstParagraph"/>
      </w:pPr>
      <w:r>
        <w:rPr>
          <w:rFonts w:hint="eastAsia"/>
        </w:rPr>
        <w:t xml:space="preserve">建议按以下步骤推进：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完成核心用户访谈和问卷分析，确定首期高频问题清单。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建立校务知识分类体系，形成不少于100条样例知识条目。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完成问答原型、管理后台原型和反馈流程设计。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制定非功能需求和测试计划，覆盖性能、安全、易用性和准确率。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在阶段评审后进入SRS基线确认，并同步规划后续设计文档。</w:t>
      </w:r>
    </w:p>
    <w:bookmarkEnd w:id="29"/>
    <w:bookmarkStart w:id="30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V1.2评审稿认为，校务问答机器人项目具备技术可行性、经济合理性、操作可接受性和合规可控性。项目可以继续推进，但必须将知识库质量、内容审核、数据权限和反馈闭环作为核心建设条件。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2026-06-19T14:21:56Z</dcterms:created>
  <dcterms:modified xsi:type="dcterms:W3CDTF">2026-06-19T14:21:56Z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