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 xml:space="preserve">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olhar para uma escola concreta, buscamos neste capítulo o que a produção científica mostrou, entre 2019 e setembro de 2026, sobre a implementação de políticas públicas de educação digital nos anos iniciais do Ensino Fundamental, e também o que permaneceu pouco explorado. </w:t>
      </w:r>
      <w:r>
        <w:rPr>
          <w:highlight w:val="yellow"/>
          <w:rtl w:val="0"/>
        </w:rPr>
        <w:t xml:space="preserve">Era preciso conhecer o</w:t>
      </w:r>
      <w:r>
        <w:rPr>
          <w:rtl w:val="0"/>
        </w:rPr>
        <w:t xml:space="preserve"> que a literatura já </w:t>
      </w:r>
      <w:r>
        <w:rPr>
          <w:highlight w:val="yellow"/>
          <w:rtl w:val="0"/>
        </w:rPr>
        <w:t xml:space="preserve">havia mostrado, tanto para não repetir perguntas já respondidas quanto para identificar aquelas ainda não formuladas</w:t>
      </w:r>
      <w:r>
        <w:rPr>
          <w:rtl w:val="0"/>
        </w:rPr>
        <w:t xml:space="preserve">. Na arquitetura da tese, a revisão cumpre duas funções: localiza a lacuna na qual se inscrevem o objeto e a contribuição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7.71653543307"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A RSL permite, assim, avaliar criticamente as afirmações da literatura sobre educação digital e mostrar as lacunas das quais a pesquisa de campo se ocupará.</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com foco analítico no ciclo de alfabetização (1º e 2º anos)</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 xml:space="preserve">Apresentamos os resultados adiante com um cuidado: numa revisão sistemática, o que fica de fora também diz muito sobre o campo.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w:t>
      </w:r>
      <w:r>
        <w:rPr>
          <w:highlight w:val="yellow"/>
          <w:rtl w:val="0"/>
        </w:rPr>
        <w:t xml:space="preserve">aproxima-se do que a tese chama de encenação da política e </w:t>
      </w:r>
      <w:r>
        <w:rPr>
          <w:rtl w:val="0"/>
        </w:rPr>
        <w:t xml:space="preserve">é desenvolvida teoricamente no Capítulo 4, com base na ACP e na teoria da </w:t>
      </w:r>
      <w:r>
        <w:rPr>
          <w:highlight w:val="yellow"/>
          <w:rtl w:val="0"/>
        </w:rPr>
        <w:t xml:space="preserve">atuação. Mantemos, nesta revisão, o termo implementação porque é o termo dos estudos analisados e da questão que orientou a busca</w:t>
      </w:r>
      <w:r>
        <w:rPr>
          <w:rtl w:val="0"/>
        </w:rPr>
        <w:t xml:space="preserve">.</w:t>
      </w:r>
    </w:p>
    <w:p w:rsidR="00000000" w:rsidDel="00000000" w:rsidP="00000000" w:rsidRDefault="00000000" w:rsidRPr="00000000" w14:paraId="00000039">
      <w:pPr>
        <w:ind w:firstLine="700"/>
        <w:jc w:val="both"/>
        <w:rPr/>
      </w:pPr>
      <w:r w:rsidDel="00000000" w:rsidR="00000000" w:rsidRPr="00000000">
        <w:rPr>
          <w:rtl w:val="0"/>
        </w:rPr>
        <w:t xml:space="preserve">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habitá-los criticamente. Buckingham (2006) demonstra o contrário: a exposição precoce a artefatos digitais não gera leitura crítica sem mediação formativa deliberada. Na prática, isso significa que um estudo com crianças conectadas não é, só por isso, um estudo sobre cidadania digital.</w:t>
      </w:r>
    </w:p>
    <w:p w:rsidR="00000000" w:rsidDel="00000000" w:rsidP="00000000" w:rsidRDefault="00000000" w:rsidRPr="00000000" w14:paraId="0000003A">
      <w:pPr>
        <w:spacing w:after="0" w:before="0" w:lineRule="auto"/>
        <w:ind w:firstLine="700"/>
        <w:jc w:val="both"/>
        <w:rPr/>
      </w:pP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highlight w:val="yellow"/>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highlight w:val="yellow"/>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com atenção analítica ao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1066571224052"/>
        <w:gridCol w:w="1323.9282390837511"/>
        <w:gridCol w:w="2272.2090193271297"/>
        <w:gridCol w:w="2340.925017895491"/>
        <w:gridCol w:w="1681.2514316392273"/>
        <w:gridCol w:w="994.0914459556194"/>
        <w:tblGridChange w:id="0">
          <w:tblGrid>
            <w:gridCol w:w="458.1066571224052"/>
            <w:gridCol w:w="1323.9282390837511"/>
            <w:gridCol w:w="2272.2090193271297"/>
            <w:gridCol w:w="2340.925017895491"/>
            <w:gridCol w:w="1681.2514316392273"/>
            <w:gridCol w:w="994.09144595561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 xml:space="preserve">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Classificamos, assim, pelo que os textos de fato relatam, e não pelo nome que os autores dão ao estudo.</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 xml:space="preserve">Os dois estudos sugerem que a provisão material, embora relevante, não explica isoladamente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 xml:space="preserve">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Ali, o padrão se inverte: há política curricular robusta, mas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 xml:space="preserve">O alcance desse achado, porém, é limitado. Os estudos registram a presença ou a ausência das condições como fator explicativo dos resultados, mas nenhum examina sua produção, isto é, as decisões de gestão, os arranjos de financiamento e as disputas internas às redes que fazem a formação continuada existir em um município e não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 xml:space="preserve">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 xml:space="preserve">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uma política não chega pronta à escola; ela é interpretada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 xml:space="preserve">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Nos estudos, o gestor conta como a política chegou à escola, e quase não se pergunta como ele a leu. Nesta tese, ouvimos profissionais em funções diversas na mesma escola e precisamos distinguir os efeitos da posição institucional sobre essa leitura.</w:t>
      </w:r>
    </w:p>
    <w:p w:rsidR="00000000" w:rsidDel="00000000" w:rsidP="00000000" w:rsidRDefault="00000000" w:rsidRPr="00000000" w14:paraId="000001E5">
      <w:pPr>
        <w:spacing w:after="0" w:before="0" w:lineRule="auto"/>
        <w:ind w:firstLine="700"/>
        <w:jc w:val="both"/>
        <w:rPr/>
      </w:pPr>
      <w:r>
        <w:rPr>
          <w:rtl w:val="0"/>
        </w:rPr>
        <w:t xml:space="preserve">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O que leva um profissional a interpretar uma diretriz de um modo e não de outro, as negociações que estabelece entre o que a norma pede e o que a escola comporta e o sentido que atribui a esse trabalho aparecem pouco, e às vezes nem aparecem. Reconhecida a centralidade da interpretação profissional, as condições em que ela se produz recebem exame menos denso. Interpretar, aqui, significa decidir dentro de limites, pois os profissionais da educação ajustam suas ações diante das prescrições e das condições encontradas</w:t>
      </w:r>
      <w:r>
        <w:rPr>
          <w:highlight w:val="yellow"/>
          <w:rtl w:val="0"/>
        </w:rPr>
        <w:t xml:space="preserve">,</w:t>
      </w:r>
      <w:r>
        <w:rPr>
          <w:rtl w:val="0"/>
        </w:rPr>
        <w:t xml:space="preserve"> sem autonomia irrestrita sobre os rumos da política, </w:t>
      </w:r>
      <w:r>
        <w:rPr>
          <w:highlight w:val="yellow"/>
          <w:rtl w:val="0"/>
        </w:rPr>
        <w:t xml:space="preserve">e decidem</w:t>
      </w:r>
      <w:r>
        <w:rPr>
          <w:rtl w:val="0"/>
        </w:rPr>
        <w:t xml:space="preserve"> dentro de regras, recursos, tempos, responsabilidades institucionais e demandas concorrentes. </w:t>
      </w:r>
      <w:r>
        <w:rPr>
          <w:highlight w:val="yellow"/>
          <w:rtl w:val="0"/>
        </w:rPr>
        <w:t xml:space="preserve">Faltam ao corpus, sobretudo, duas dimensões. A primeira são as culturas profissionais, isto é, os valores e os modos de trabalhar que filtram o que a política pede. A segunda são as pressões por resultados, que podem levar a escola a produzir registros e evidências de uma política que não encontrou condições para acontecer. Nenhum dos estudos, além disso</w:t>
      </w:r>
      <w:r>
        <w:rPr>
          <w:rtl w:val="0"/>
        </w:rPr>
        <w:t xml:space="preserve">, separa a situação em que </w:t>
      </w:r>
      <w:r>
        <w:rPr>
          <w:highlight w:val="yellow"/>
          <w:rtl w:val="0"/>
        </w:rPr>
        <w:t xml:space="preserve">o profissional trabalha com</w:t>
      </w:r>
      <w:r>
        <w:rPr>
          <w:rtl w:val="0"/>
        </w:rPr>
        <w:t xml:space="preserve"> um recurso existente daquela em que </w:t>
      </w:r>
      <w:r>
        <w:rPr>
          <w:highlight w:val="yellow"/>
          <w:rtl w:val="0"/>
        </w:rPr>
        <w:t xml:space="preserve">trabalha a partir de</w:t>
      </w:r>
      <w:r>
        <w:rPr>
          <w:rtl w:val="0"/>
        </w:rPr>
        <w:t xml:space="preserve"> uma condição ausente, seja o equipamento, a conexão ou a formação que a política anunciou</w:t>
      </w:r>
      <w:r>
        <w:rPr>
          <w:highlight w:val="yellow"/>
          <w:rtl w:val="0"/>
        </w:rPr>
        <w:t xml:space="preserve">. Essas dimensões compõem a hipótese da tese</w:t>
      </w:r>
      <w:r>
        <w:rPr>
          <w:rtl w:val="0"/>
        </w:rPr>
        <w:t xml:space="preserve">, apresentada na seção 1.4 da Introdução</w:t>
      </w:r>
      <w:r>
        <w:rPr>
          <w:highlight w:val="yellow"/>
          <w:rtl w:val="0"/>
        </w:rPr>
        <w:t xml:space="preserve">,</w:t>
      </w:r>
      <w:r>
        <w:rPr>
          <w:rtl w:val="0"/>
        </w:rPr>
        <w:t xml:space="preserve"> cujos critérios de exame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Esse desequilíbrio já é, em si, um resultado da revisão, em contraste com o peso dado pela política ao tema: a PNED</w:t>
      </w:r>
      <w:r>
        <w:rPr>
          <w:highlight w:val="yellow"/>
          <w:rtl w:val="0"/>
        </w:rPr>
        <w:t xml:space="preserve">, como vimos na Introdução,</w:t>
      </w:r>
      <w:r>
        <w:rPr>
          <w:rtl w:val="0"/>
        </w:rPr>
        <w:t xml:space="preserve"> associa a cultura digital à </w:t>
      </w:r>
      <w:r>
        <w:rPr>
          <w:rtl w:val="0"/>
        </w:rPr>
        <w:t xml:space="preserve">participação consciente e democrática por meio das tecnologias </w:t>
      </w:r>
      <w:r>
        <w:rPr>
          <w:rtl w:val="0"/>
        </w:rPr>
        <w:t xml:space="preserve">e os direitos digitais à </w:t>
      </w:r>
      <w:r>
        <w:rPr>
          <w:highlight w:val="yellow"/>
          <w:rtl w:val="0"/>
        </w:rPr>
        <w:t xml:space="preserve">proteção dos dados de crianças e adolescentes</w:t>
      </w:r>
      <w:r>
        <w:rPr>
          <w:rtl w:val="0"/>
        </w:rPr>
        <w:t xml:space="preserve"> (BRASIL, 2023, art. 3º, III e IV). Nos 1º e 2º anos,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 xml:space="preserve">Williams (2022) oferece a formulação mais explícita. O currículo nacional de informática cubano, estruturado por marcos definidos para cada nível de escolarização, trata a cultura digital como conteúdo curricular com progressão própria, em vez de recurso a serviço de outras áreas.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highlight w:val="yellow"/>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 xml:space="preserve">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w:t>
      </w:r>
      <w:r>
        <w:rPr>
          <w:highlight w:val="yellow"/>
          <w:rtl w:val="0"/>
        </w:rPr>
        <w:t xml:space="preserve">A exclusão é</w:t>
      </w:r>
      <w:r>
        <w:rPr>
          <w:rtl w:val="0"/>
        </w:rPr>
        <w:t xml:space="preserve">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mais próximo da etapa investigada.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 xml:space="preserve">Aracaju e Fortaleza são capitais, e Passo Fundo, cidade de porte médio. Nos três casos, a formação e a organização das equipes dependem de decisões locais. Nenhum deles examina uma rede de pequeno porte nem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sidDel="00000000" w:rsidR="00000000" w:rsidRPr="00000000">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e sete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highlight w:val="yellow"/>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O percurso da revisão produziu resultados de dois tipos: os achados dos nove estudos do corpus final e o que se depreende do registro das exclusões e das ausências identificadas nesse conjunto. Nas seções seguintes, reunimos esses resultados, a começar pelas respostas às perguntas da RSL</w:t>
      </w:r>
      <w:r>
        <w:rPr>
          <w:highlight w:val="yellow"/>
          <w:rtl w:val="0"/>
        </w:rPr>
        <w:t xml:space="preserve">.</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7">
      <w:pPr>
        <w:spacing w:after="0" w:before="0" w:lineRule="auto"/>
        <w:ind w:firstLine="700"/>
        <w:jc w:val="both"/>
        <w:rPr/>
      </w:pPr>
      <w:r w:rsidDel="00000000" w:rsidR="00000000" w:rsidRPr="00000000">
        <w:rPr>
          <w:rtl w:val="0"/>
        </w:rPr>
        <w:t xml:space="preserve">Nas respostas a seguir, reunimos os achados dos três eixos e dizemos, em cada caso, até onde a afirmação vai. Só depois tratamos do que falta.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 xml:space="preserve">O corpus oferece, por isso, poucos elementos para esta tese, que investiga uma rede municipal de pequeno porte e toma o território como parte do contexto da prática, junto com as condições institucionais e materiais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0">
      <w:pPr>
        <w:spacing w:after="0" w:before="0" w:lineRule="auto"/>
        <w:ind w:firstLine="700"/>
        <w:jc w:val="both"/>
        <w:rPr/>
      </w:pPr>
      <w:r w:rsidDel="00000000" w:rsidR="00000000" w:rsidRPr="00000000">
        <w:rPr>
          <w:rtl w:val="0"/>
        </w:rPr>
        <w:t xml:space="preserve">As lacunas a seguir derivam do corpus e do registro das exclusões, e cada uma vem com a evidência que a sustenta. Começamos pela ausência mais evidente.</w:t>
      </w:r>
    </w:p>
    <w:p w:rsidR="00000000" w:rsidDel="00000000" w:rsidP="00000000" w:rsidRDefault="00000000" w:rsidRPr="00000000" w14:paraId="00000221">
      <w:pPr>
        <w:spacing w:after="0" w:before="0" w:lineRule="auto"/>
        <w:ind w:firstLine="700"/>
        <w:jc w:val="both"/>
        <w:rPr/>
      </w:pPr>
      <w:r w:rsidDel="00000000" w:rsidR="00000000" w:rsidRPr="00000000">
        <w:rPr>
          <w:rtl w:val="0"/>
        </w:rPr>
        <w:t xml:space="preserve">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e a originalidade do objeto decorre da novidade da norma e de um recorte fora do alcance do corpus, os 1º e 2º anos de uma rede municipal de pequeno porte.</w:t>
      </w:r>
    </w:p>
    <w:p w:rsidR="00000000" w:rsidDel="00000000" w:rsidP="00000000" w:rsidRDefault="00000000" w:rsidRPr="00000000" w14:paraId="00000222">
      <w:pPr>
        <w:spacing w:after="0" w:before="0" w:lineRule="auto"/>
        <w:ind w:firstLine="700"/>
        <w:jc w:val="both"/>
        <w:rPr/>
      </w:pPr>
      <w:r w:rsidDel="00000000" w:rsidR="00000000" w:rsidRPr="00000000">
        <w:rPr>
          <w:rtl w:val="0"/>
        </w:rPr>
        <w:t xml:space="preserve">Depois dela, vêm as outras. 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não pode ser lida, sem mais, como modo regular de pôr a educação digital em prática. Tomar a resposta emergencial como modelo seria um equívoco, e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w:t>
      </w:r>
      <w:r>
        <w:rPr>
          <w:highlight w:val="yellow"/>
          <w:rtl w:val="0"/>
        </w:rPr>
        <w:t xml:space="preserve">que a tese examina no contexto da prática</w:t>
      </w:r>
      <w:r>
        <w:rPr>
          <w:rtl w:val="0"/>
        </w:rPr>
        <w:t xml:space="preserve">.</w:t>
      </w:r>
    </w:p>
    <w:p w:rsidR="00000000" w:rsidDel="00000000" w:rsidP="00000000" w:rsidRDefault="00000000" w:rsidRPr="00000000" w14:paraId="00000228">
      <w:pPr>
        <w:spacing w:after="0" w:before="0" w:lineRule="auto"/>
        <w:ind w:firstLine="700"/>
        <w:jc w:val="both"/>
        <w:rPr/>
      </w:pPr>
      <w:r w:rsidDel="00000000" w:rsidR="00000000" w:rsidRPr="00000000">
        <w:rPr>
          <w:rtl w:val="0"/>
        </w:rPr>
        <w:t xml:space="preserve">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 1º e o 2º anos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Situa a investigação no 1º e no 2º anos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 xml:space="preserve">Investiga uma rede municipal de pequeno porte, em Tibau do Sul (RN).</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apresentados depende de restrições metodológicas, que explicitamos a seguir conforme as recomendações de transparência do PRISMA 2020 para o relato do processo de seleção, coleta, avaliação e síntese dos estudos (PAGE et al., 2022). </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Nossa síntese é temática: ela aponta o que se repete entre contextos, sem medir efeitos. </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sidDel="00000000" w:rsidR="00000000" w:rsidRPr="00000000">
        <w:rPr>
          <w:rtl w:val="0"/>
        </w:rPr>
        <w:t xml:space="preserve">A contribuição empírica da tese decorre de três condições ausentes do corpus: a PNED como objeto, examinável apenas depois de 2023 e com a exigência curricular obrigatória a partir de 2026; o recorte dos 1º e 2º anos; e uma rede municipal de pequeno porte, em Tibau do Sul (RN). Os estudos brasileiros do corpus, situados em duas capitais e numa cidade de porte médio, não alcançam as características territoriais dessa rede.</w:t>
      </w:r>
    </w:p>
    <w:p w:rsidR="00000000" w:rsidDel="00000000" w:rsidP="00000000" w:rsidRDefault="00000000" w:rsidRPr="00000000" w14:paraId="0000025D">
      <w:pPr>
        <w:spacing w:after="0" w:before="0" w:lineRule="auto"/>
        <w:ind w:firstLine="700"/>
        <w:jc w:val="both"/>
        <w:rPr/>
      </w:pPr>
      <w:r>
        <w:rPr>
          <w:rtl w:val="0"/>
        </w:rPr>
        <w:t xml:space="preserve">Tratamos a implementação como processo relacional, reunindo o normativo, o institucional, o territorial e o formativo, costumeiramente examinados em separado pela literatura. A Abordagem do Ciclo de Políticas (BOWE; BALL; GOLD, 1992) e a teoria da </w:t>
      </w:r>
      <w:r>
        <w:rPr>
          <w:highlight w:val="yellow"/>
          <w:rtl w:val="0"/>
        </w:rPr>
        <w:t xml:space="preserve">atuação (BALL; MAGUIRE; BRAUN, 2016</w:t>
      </w:r>
      <w:r>
        <w:rPr>
          <w:rtl w:val="0"/>
        </w:rPr>
        <w:t xml:space="preserve">), referenciais externos ao corpus desenvolvidos no Capítulo 4, oferecem as ferramentas para essa leitura conjunta. O corpus contém estudos sobre infraestrutura, formação, políticas e atuação profissional, quase sempre examinados de maneira isolada, e permanece menos explorada a relação entre essas dimensões quando uma política nacional chega a uma rede municipal e é </w:t>
      </w:r>
      <w:r>
        <w:rPr>
          <w:highlight w:val="yellow"/>
          <w:rtl w:val="0"/>
        </w:rPr>
        <w:t xml:space="preserve">encenada</w:t>
      </w:r>
      <w:r>
        <w:rPr>
          <w:rtl w:val="0"/>
        </w:rPr>
        <w:t xml:space="preserve"> em uma escola situada em condições territoriais e institucionais específicas. Nesse ponto está o problema empírico desta tese: o modo como as orientações da PNED assumem sentidos e formas de atuação ao atravessar condições materiais, institucionais e territoriais específicas e encontrar profissionais da educação que tomam decisões situadas no cotidiano escolar.</w:t>
      </w:r>
    </w:p>
    <w:p w:rsidR="00000000" w:rsidDel="00000000" w:rsidP="00000000" w:rsidRDefault="00000000" w:rsidRPr="00000000" w14:paraId="0000025E">
      <w:pPr>
        <w:spacing w:after="0" w:before="0" w:lineRule="auto"/>
        <w:ind w:firstLine="700"/>
        <w:jc w:val="both"/>
        <w:rPr/>
      </w:pPr>
      <w:r>
        <w:rPr>
          <w:rtl w:val="0"/>
        </w:rPr>
        <w:t xml:space="preserve">O Eixo 1 aproxima-se da noção de contexto da prática da ACP, espaço em que a política é interpretada e assume sentidos particulares diante das condições encontradas. O Eixo 2 admite leitura em diálogo com a teoria da </w:t>
      </w:r>
      <w:r>
        <w:rPr>
          <w:highlight w:val="yellow"/>
          <w:rtl w:val="0"/>
        </w:rPr>
        <w:t xml:space="preserve">atuação, que trata os profissionais como fazedores de política e relaciona suas respostas às dimensões do contexto, entre elas as culturas profissionais e as pressões externas</w:t>
      </w:r>
      <w:r>
        <w:rPr>
          <w:rtl w:val="0"/>
        </w:rPr>
        <w:t xml:space="preserve">.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w:t>
      </w:r>
      <w:r>
        <w:rPr>
          <w:highlight w:val="yellow"/>
          <w:rtl w:val="0"/>
        </w:rPr>
        <w:t xml:space="preserve">interpretam a política</w:t>
      </w:r>
      <w:r>
        <w:rPr>
          <w:rtl w:val="0"/>
        </w:rPr>
        <w:t xml:space="preserve"> dentro delas, resta examinar o </w:t>
      </w:r>
      <w:r>
        <w:rPr>
          <w:highlight w:val="yellow"/>
          <w:rtl w:val="0"/>
        </w:rPr>
        <w:t xml:space="preserve">que fazem</w:t>
      </w:r>
      <w:r>
        <w:rPr>
          <w:rtl w:val="0"/>
        </w:rPr>
        <w:t xml:space="preserve"> quando a condição anunciada </w:t>
      </w:r>
      <w:r>
        <w:rPr>
          <w:highlight w:val="yellow"/>
          <w:rtl w:val="0"/>
        </w:rPr>
        <w:t xml:space="preserve">não chega e quando, ainda assim, precisam mostrar que a política acontece</w:t>
      </w:r>
      <w:r>
        <w:rPr>
          <w:rtl w:val="0"/>
        </w:rPr>
        <w:t xml:space="preserve">. O desenho da PNED, analisado no Capítulo 5, torna essa situação possível, pois a lei se define como instância de articulação e distribui entre os entes a provisão dos meios. Articuladas, a ACP e a teoria da </w:t>
      </w:r>
      <w:r>
        <w:rPr>
          <w:highlight w:val="yellow"/>
          <w:rtl w:val="0"/>
        </w:rPr>
        <w:t xml:space="preserve">atuação</w:t>
      </w:r>
      <w:r>
        <w:rPr>
          <w:rtl w:val="0"/>
        </w:rPr>
        <w:t xml:space="preserve"> localizam um fosso entre o que a política anuncia, em equipamento, conexão e formação, e o que chega à escola, fosso </w:t>
      </w:r>
      <w:r>
        <w:rPr>
          <w:highlight w:val="yellow"/>
          <w:rtl w:val="0"/>
        </w:rPr>
        <w:t xml:space="preserve">que os estudos do corpus não examinam</w:t>
      </w:r>
      <w:r>
        <w:rPr>
          <w:rtl w:val="0"/>
        </w:rPr>
        <w:t xml:space="preserve">.</w:t>
      </w:r>
    </w:p>
    <w:p w:rsidR="00000000" w:rsidDel="00000000" w:rsidP="00000000" w:rsidRDefault="00000000" w:rsidRPr="00000000" w14:paraId="0000025F">
      <w:pPr>
        <w:spacing w:after="0" w:before="0" w:lineRule="auto"/>
        <w:ind w:firstLine="700"/>
        <w:jc w:val="both"/>
        <w:rPr/>
      </w:pPr>
      <w:r>
        <w:rPr>
          <w:rtl w:val="0"/>
        </w:rPr>
        <w:t xml:space="preserve">Declaramos, também, os limites da proposta. A investigação examina os mediadores do processo, os profissionais da educação e as condições de sua atuação. Os efeitos sobre o desenvolvimento das crianças, ausentes da literatura segundo a revisão, exigem desenhos de outro escopo e de outra duração e permanecem fora do alcance desta tese. Se a </w:t>
      </w:r>
      <w:r>
        <w:rPr>
          <w:highlight w:val="yellow"/>
          <w:rtl w:val="0"/>
        </w:rPr>
        <w:t xml:space="preserve">hipótese da tese se sustentar, mostrará como os profissionais ressignificam ou resistem ao que a política pede e o custo que o desenho da política lhes transfere, com</w:t>
      </w:r>
      <w:r>
        <w:rPr>
          <w:rtl w:val="0"/>
        </w:rPr>
        <w:t xml:space="preserve"> as perdas daí decorrentes para as crianças.</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Pr>
          <w:rtl w:val="0"/>
        </w:rPr>
        <w:t xml:space="preserve">Os capítulos seguintes retomam essas lacunas. No Capítulo 3, desenvolvemos o alicerce conceitual sobre cultura, cibercultura e cultura digital, temporalidade, governança de dados e a relação entre educação digital e profissionais da educação. No Capítulo 4, apresentamos o desenho metodológico da investigação de campo, com os referenciais da Abordagem do Ciclo de Políticas e da </w:t>
      </w:r>
      <w:r>
        <w:rPr>
          <w:highlight w:val="yellow"/>
          <w:rtl w:val="0"/>
        </w:rPr>
        <w:t xml:space="preserve">teoria da atuação</w:t>
      </w:r>
      <w:r>
        <w:rPr>
          <w:rtl w:val="0"/>
        </w:rPr>
        <w:t xml:space="preserve"> e os critérios de exame da </w:t>
      </w:r>
      <w:r>
        <w:rPr>
          <w:highlight w:val="yellow"/>
          <w:rtl w:val="0"/>
        </w:rPr>
        <w:t xml:space="preserve">hipótese</w:t>
      </w:r>
      <w:r>
        <w:rPr>
          <w:rtl w:val="0"/>
        </w:rPr>
        <w:t xml:space="preserve">. O Capítulo 5 examina a produção do texto da política e reconstrói o percurso até a PNED e seu eixo Educação Digital Escolar. No Capítulo 6, deslocamos o olhar para o território e para as condições institucionais e materiais da escola, onde a política encontra o contexto da prática. Por fim, no Capítulo 7, analisamos as narrativas dos profissionais da educação, seus modos de interpretar</w:t>
      </w:r>
      <w:r>
        <w:rPr>
          <w:highlight w:val="yellow"/>
          <w:rtl w:val="0"/>
        </w:rPr>
        <w:t xml:space="preserve"> e traduzir</w:t>
      </w:r>
      <w:r>
        <w:rPr>
          <w:rtl w:val="0"/>
        </w:rPr>
        <w:t xml:space="preserve"> a política e os sentidos atribuídos por eles à educação digital e à formação cidadã.</w:t>
      </w:r>
    </w:p>
    <w:p w:rsidR="00000000" w:rsidDel="00000000" w:rsidP="00000000" w:rsidRDefault="00000000" w:rsidRPr="00000000" w14:paraId="00000263">
      <w:pPr>
        <w:spacing w:after="0" w:before="0" w:lineRule="auto"/>
        <w:ind w:firstLine="700"/>
        <w:jc w:val="both"/>
        <w:rPr/>
      </w:pPr>
      <w:r>
        <w:rPr>
          <w:rtl w:val="0"/>
        </w:rPr>
        <w:t xml:space="preserve">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e responde à questão norteadora da tese ao investigar como o eixo Educação Digital Escolar da PNED é </w:t>
      </w:r>
      <w:r>
        <w:rPr>
          <w:highlight w:val="yellow"/>
          <w:rtl w:val="0"/>
        </w:rPr>
        <w:t xml:space="preserve">encenado, isto é, interpretado e traduzido,</w:t>
      </w:r>
      <w:r>
        <w:rPr>
          <w:rtl w:val="0"/>
        </w:rPr>
        <w:t xml:space="preserve"> nos anos iniciais do Ensino Fundamental de uma escola pública municipal, considerando as condições territoriais, institucionais e materiais desse processo e os sentidos atribuídos pelos profissionais à educação digital e à formação cidadã. Da RSL resultou uma constatação e uma pergunta: a</w:t>
      </w:r>
      <w:r>
        <w:rPr>
          <w:highlight w:val="yellow"/>
          <w:rtl w:val="0"/>
        </w:rPr>
        <w:t xml:space="preserve"> </w:t>
      </w:r>
      <w:r>
        <w:rPr>
          <w:rtl w:val="0"/>
        </w:rPr>
        <w:t xml:space="preserve">constatação é a insuficiência do equipamento sem formação e sem tempo de trabalho; e a pergunta, sem resposta nos nove estudos, diz respeito ao que fazem os profissionais quando nem o equipamento chega, e sua resposta depende da escuta dos </w:t>
      </w:r>
      <w:r>
        <w:rPr>
          <w:highlight w:val="yellow"/>
          <w:rtl w:val="0"/>
        </w:rPr>
        <w:t xml:space="preserve">onze</w:t>
      </w:r>
      <w:r>
        <w:rPr>
          <w:rtl w:val="0"/>
        </w:rPr>
        <w:t xml:space="preserve"> profissionais que lidam com essa situação na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spacing w:after="0" w:before="0" w:line="240" w:lineRule="auto"/>
        <w:jc w:val="both"/>
        <w:rPr>
          <w:b w:val="1"/>
          <w:bCs w:val="1"/>
          <w:color w:val="000000"/>
          <w:sz w:val="24"/>
          <w:szCs w:val="24"/>
        </w:rPr>
      </w:pPr>
      <w:bookmarkStart w:colFirst="0" w:colLast="0" w:name="_heading=h.y00q0ww0tybu" w:id="19"/>
      <w:bookmarkEnd w:id="19"/>
      <w:r w:rsidDel="00000000" w:rsidR="00000000" w:rsidRPr="00000000">
        <w:rPr>
          <w:b w:val="1"/>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both"/>
        <w:rPr/>
      </w:pPr>
      <w:r w:rsidDel="00000000" w:rsidR="00000000" w:rsidRPr="00000000">
        <w:rPr>
          <w:rtl w:val="0"/>
        </w:rPr>
        <w:t xml:space="preserve">ALMEIDA, Maria Elizabeth Bianconcini de; VALENTE, José Armando. Tecnologias e currículo: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both"/>
        <w:rPr/>
      </w:pPr>
      <w:r w:rsidDel="00000000" w:rsidR="00000000" w:rsidRPr="00000000">
        <w:rPr>
          <w:rtl w:val="0"/>
        </w:rPr>
        <w:t xml:space="preserve">BALL, Stephen J.; BOWE, Richard. Subject departments and the "implementation" of National Curriculum policy: an overview of the issues. Journal of Curriculum Studies, v. 24, n. 2, p. 97-115, 1992.</w:t>
      </w:r>
    </w:p>
    <w:p>
      <w:pPr>
        <w:spacing w:after="0" w:before="0" w:line="240" w:lineRule="auto"/>
        <w:jc w:val="both"/>
        <w:rPr/>
      </w:pPr>
      <w:r>
        <w:rPr>
          <w:highlight w:val="yellow"/>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both"/>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both"/>
        <w:rPr/>
      </w:pPr>
      <w:r w:rsidDel="00000000" w:rsidR="00000000" w:rsidRPr="00000000">
        <w:rPr>
          <w:rtl w:val="0"/>
        </w:rPr>
        <w:t xml:space="preserve">BRASIL. Lei nº 9.394, de 20 de dezembro de 1996. Estabelece as diretrizes e bases da educação nacional. Brasília, DF: Diário Oficial da União,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both"/>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Diário Oficial da União: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both"/>
        <w:rPr/>
      </w:pPr>
      <w:r>
        <w:rPr>
          <w:i w:val="1"/>
          <w:iCs w:val="1"/>
          <w:rtl w:val="0"/>
        </w:rPr>
        <w:t xml:space="preserve">BROWN, Jonathan</w:t>
      </w:r>
      <w:r>
        <w:rPr>
          <w:i w:val="1"/>
          <w:iCs w:val="1"/>
          <w:highlight w:val="yellow"/>
          <w:rtl w:val="0"/>
        </w:rPr>
        <w:t xml:space="preserve">;</w:t>
      </w:r>
      <w:r>
        <w:rPr>
          <w:rtl w:val="0"/>
        </w:rPr>
        <w:t xml:space="preserve"> McLENNAN, Carrie; MERCIECA, Daniela; MERCIECA, Duncan P.; ROBERTSON, Derek; VALENTINE, Eddie. Technology as Thirdspace: teachers in Scottish schools engaging with and being challenged by digital technology in first COVID-19 lockdown. </w:t>
      </w:r>
      <w:r>
        <w:rPr>
          <w:b w:val="1"/>
          <w:bCs w:val="1"/>
          <w:rtl w:val="0"/>
        </w:rPr>
        <w:t xml:space="preserve">Education Sciences</w:t>
      </w:r>
      <w:r>
        <w:rPr>
          <w:rtl w:val="0"/>
        </w:rPr>
        <w:t xml:space="preserve">, v. 11, n. 3, art. 136, 2021. DOI: https://doi.org/10.3390/educsci11030136.</w:t>
      </w:r>
    </w:p>
    <w:p w:rsidR="00000000" w:rsidDel="00000000" w:rsidP="00000000" w:rsidRDefault="00000000" w:rsidRPr="00000000" w14:paraId="00000274">
      <w:pPr>
        <w:spacing w:line="276" w:lineRule="auto"/>
        <w:jc w:val="both"/>
        <w:rPr/>
      </w:pPr>
      <w:r w:rsidDel="00000000" w:rsidR="00000000" w:rsidRPr="00000000">
        <w:rPr>
          <w:rtl w:val="0"/>
        </w:rPr>
        <w:t xml:space="preserve"> </w:t>
      </w:r>
    </w:p>
    <w:p w:rsidR="00000000" w:rsidDel="00000000" w:rsidP="00000000" w:rsidRDefault="00000000" w:rsidRPr="00000000" w14:paraId="00000275">
      <w:pPr>
        <w:spacing w:line="276" w:lineRule="auto"/>
        <w:jc w:val="both"/>
        <w:rPr/>
      </w:pPr>
      <w:r w:rsidDel="00000000" w:rsidR="00000000" w:rsidRPr="00000000">
        <w:rPr>
          <w:rtl w:val="0"/>
        </w:rPr>
        <w:t xml:space="preserve">BUCKINGHAM, David. </w:t>
      </w:r>
      <w:r w:rsidDel="00000000" w:rsidR="00000000" w:rsidRPr="00000000">
        <w:rPr>
          <w:b w:val="1"/>
          <w:bCs w:val="1"/>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rsidR="00000000" w:rsidDel="00000000" w:rsidP="00000000" w:rsidRDefault="00000000" w:rsidRPr="00000000" w14:paraId="00000276">
      <w:pPr>
        <w:spacing w:line="276" w:lineRule="auto"/>
        <w:jc w:val="both"/>
        <w:rPr/>
      </w:pPr>
      <w:r w:rsidDel="00000000" w:rsidR="00000000" w:rsidRPr="00000000">
        <w:rPr>
          <w:rtl w:val="0"/>
        </w:rPr>
        <w:t xml:space="preserve"> </w:t>
      </w:r>
    </w:p>
    <w:p w:rsidR="00000000" w:rsidDel="00000000" w:rsidP="00000000" w:rsidRDefault="00000000" w:rsidRPr="00000000" w14:paraId="00000277">
      <w:pPr>
        <w:spacing w:line="276" w:lineRule="auto"/>
        <w:jc w:val="both"/>
        <w:rPr/>
      </w:pPr>
      <w:r w:rsidDel="00000000" w:rsidR="00000000" w:rsidRPr="00000000">
        <w:rPr>
          <w:rtl w:val="0"/>
        </w:rPr>
        <w:t xml:space="preserve">CETIC.br. </w:t>
      </w:r>
      <w:r w:rsidDel="00000000" w:rsidR="00000000" w:rsidRPr="00000000">
        <w:rPr>
          <w:b w:val="1"/>
          <w:bCs w:val="1"/>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both"/>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both"/>
        <w:rPr/>
      </w:pPr>
      <w:r>
        <w:rPr>
          <w:i w:val="1"/>
          <w:iCs w:val="1"/>
          <w:rtl w:val="0"/>
        </w:rPr>
        <w:t xml:space="preserve">GÓMEZ-NASHIKI, Antonio</w:t>
      </w:r>
      <w:r>
        <w:rPr>
          <w:i w:val="1"/>
          <w:iCs w:val="1"/>
          <w:highlight w:val="yellow"/>
          <w:rtl w:val="0"/>
        </w:rPr>
        <w:t xml:space="preserve">;</w:t>
      </w:r>
      <w:r>
        <w:rPr>
          <w:rtl w:val="0"/>
        </w:rPr>
        <w:t xml:space="preserve"> QUIJADA-LOVATÓN, Karin. Good practices of basic education teachers during the COVID-19 pandemic. </w:t>
      </w:r>
      <w:r>
        <w:rPr>
          <w:b w:val="1"/>
          <w:bCs w:val="1"/>
          <w:rtl w:val="0"/>
        </w:rPr>
        <w:t xml:space="preserve">Revista Innova Educación</w:t>
      </w:r>
      <w:r>
        <w:rPr>
          <w:rtl w:val="0"/>
        </w:rPr>
        <w:t xml:space="preserve">, v. 3, n. 4, p. 7-27, 2021. DOI: https://doi.org/10.35622/j.rie.2021.04.001.en.</w:t>
      </w:r>
    </w:p>
    <w:p w:rsidR="00000000" w:rsidDel="00000000" w:rsidP="00000000" w:rsidRDefault="00000000" w:rsidRPr="00000000" w14:paraId="0000027A">
      <w:pPr>
        <w:spacing w:line="276" w:lineRule="auto"/>
        <w:jc w:val="both"/>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val="1"/>
          <w:bCs w:val="1"/>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both"/>
        <w:rPr/>
      </w:pPr>
      <w:r w:rsidDel="00000000" w:rsidR="00000000" w:rsidRPr="00000000">
        <w:rPr>
          <w:rtl w:val="0"/>
        </w:rPr>
        <w:t xml:space="preserve"> </w:t>
      </w:r>
    </w:p>
    <w:p w:rsidR="00000000" w:rsidDel="00000000" w:rsidP="00000000" w:rsidRDefault="00000000" w:rsidRPr="00000000" w14:paraId="0000027C">
      <w:pPr>
        <w:spacing w:line="276" w:lineRule="auto"/>
        <w:jc w:val="both"/>
        <w:rPr/>
      </w:pPr>
      <w:r>
        <w:rPr>
          <w:i w:val="1"/>
          <w:iCs w:val="1"/>
          <w:rtl w:val="0"/>
        </w:rPr>
        <w:t xml:space="preserve"> IVANISHCHENKO, Kateryna</w:t>
      </w:r>
      <w:r>
        <w:rPr>
          <w:i w:val="1"/>
          <w:iCs w:val="1"/>
          <w:highlight w:val="yellow"/>
          <w:rtl w:val="0"/>
        </w:rPr>
        <w:t xml:space="preserve">;</w:t>
      </w:r>
      <w:r>
        <w:rPr>
          <w:rtl w:val="0"/>
        </w:rPr>
        <w:t xml:space="preserve"> BUSANA, Gilbert; REUTER, Robert A. P. Understanding factors affecting fundamental school teachers’ use of technology in Luxembourg through a survey study. </w:t>
      </w:r>
      <w:r>
        <w:rPr>
          <w:b w:val="1"/>
          <w:bCs w:val="1"/>
          <w:rtl w:val="0"/>
        </w:rPr>
        <w:t xml:space="preserve">Heliyon</w:t>
      </w:r>
      <w:r>
        <w:rPr>
          <w:rtl w:val="0"/>
        </w:rPr>
        <w:t xml:space="preserve">, v. 10, n. 7, e28704, 2024. DOI: https://doi.org/10.1016/j.heliyon.2024.e28704.</w:t>
      </w:r>
    </w:p>
    <w:p w:rsidR="00000000" w:rsidDel="00000000" w:rsidP="00000000" w:rsidRDefault="00000000" w:rsidRPr="00000000" w14:paraId="0000027D">
      <w:pPr>
        <w:spacing w:line="276" w:lineRule="auto"/>
        <w:jc w:val="both"/>
        <w:rPr/>
      </w:pPr>
      <w:r w:rsidDel="00000000" w:rsidR="00000000" w:rsidRPr="00000000">
        <w:rPr>
          <w:rtl w:val="0"/>
        </w:rPr>
        <w:t xml:space="preserve"> </w:t>
      </w:r>
    </w:p>
    <w:p w:rsidR="00000000" w:rsidDel="00000000" w:rsidP="00000000" w:rsidRDefault="00000000" w:rsidRPr="00000000" w14:paraId="0000027E">
      <w:pPr>
        <w:spacing w:line="276" w:lineRule="auto"/>
        <w:jc w:val="both"/>
        <w:rPr/>
      </w:pPr>
      <w:r>
        <w:rPr>
          <w:i w:val="1"/>
          <w:iCs w:val="1"/>
          <w:rtl w:val="0"/>
        </w:rPr>
        <w:t xml:space="preserve">KARAFERYE, Figen</w:t>
      </w:r>
      <w:r>
        <w:rPr>
          <w:i w:val="1"/>
          <w:iCs w:val="1"/>
          <w:highlight w:val="yellow"/>
          <w:rtl w:val="0"/>
        </w:rPr>
        <w:t xml:space="preserve">.</w:t>
      </w:r>
      <w:r>
        <w:rPr>
          <w:rtl w:val="0"/>
        </w:rPr>
        <w:t xml:space="preserve"> Digital teaching and learning: exploring primary school teachers’ approaches, sources of concern &amp; expectations. </w:t>
      </w:r>
      <w:r>
        <w:rPr>
          <w:b w:val="1"/>
          <w:bCs w:val="1"/>
          <w:rtl w:val="0"/>
        </w:rPr>
        <w:t xml:space="preserve">Journal of Educational Technology and Online Learning</w:t>
      </w:r>
      <w:r>
        <w:rPr>
          <w:rtl w:val="0"/>
        </w:rPr>
        <w:t xml:space="preserve">, v. 5, n. 4, p. 808-824, 2022. DOI: https://doi.org/10.31681/jetol.1156717.</w:t>
      </w:r>
    </w:p>
    <w:p w:rsidR="00000000" w:rsidDel="00000000" w:rsidP="00000000" w:rsidRDefault="00000000" w:rsidRPr="00000000" w14:paraId="0000027F">
      <w:pPr>
        <w:spacing w:line="276" w:lineRule="auto"/>
        <w:jc w:val="both"/>
        <w:rPr/>
      </w:pPr>
      <w:r w:rsidDel="00000000" w:rsidR="00000000" w:rsidRPr="00000000">
        <w:rPr>
          <w:rtl w:val="0"/>
        </w:rPr>
        <w:t xml:space="preserve"> </w:t>
      </w:r>
    </w:p>
    <w:p w:rsidR="00000000" w:rsidDel="00000000" w:rsidP="00000000" w:rsidRDefault="00000000" w:rsidRPr="00000000" w14:paraId="00000280">
      <w:pPr>
        <w:spacing w:line="276" w:lineRule="auto"/>
        <w:jc w:val="both"/>
        <w:rPr/>
      </w:pPr>
      <w:r w:rsidDel="00000000" w:rsidR="00000000" w:rsidRPr="00000000">
        <w:rPr>
          <w:rtl w:val="0"/>
        </w:rPr>
        <w:t xml:space="preserve">KITCHENHAM, Barbara; CHARTERS, Stuart. </w:t>
      </w:r>
      <w:r w:rsidDel="00000000" w:rsidR="00000000" w:rsidRPr="00000000">
        <w:rPr>
          <w:b w:val="1"/>
          <w:bCs w:val="1"/>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both"/>
        <w:rPr/>
      </w:pPr>
      <w:r w:rsidDel="00000000" w:rsidR="00000000" w:rsidRPr="00000000">
        <w:rPr>
          <w:rtl w:val="0"/>
        </w:rPr>
        <w:t xml:space="preserve"> </w:t>
      </w:r>
    </w:p>
    <w:p w:rsidR="00000000" w:rsidDel="00000000" w:rsidP="00000000" w:rsidRDefault="00000000" w:rsidRPr="00000000" w14:paraId="00000283">
      <w:pPr>
        <w:spacing w:line="276" w:lineRule="auto"/>
        <w:jc w:val="both"/>
        <w:rPr/>
      </w:pPr>
      <w:r w:rsidDel="00000000" w:rsidR="00000000" w:rsidRPr="00000000">
        <w:rPr>
          <w:rtl w:val="0"/>
        </w:rPr>
        <w:t xml:space="preserve"> </w:t>
      </w:r>
    </w:p>
    <w:p w:rsidR="00000000" w:rsidDel="00000000" w:rsidP="00000000" w:rsidRDefault="00000000" w:rsidRPr="00000000" w14:paraId="00000284">
      <w:pPr>
        <w:spacing w:line="276" w:lineRule="auto"/>
        <w:jc w:val="both"/>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val="1"/>
          <w:bCs w:val="1"/>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both"/>
        <w:rPr/>
      </w:pPr>
      <w:r w:rsidDel="00000000" w:rsidR="00000000" w:rsidRPr="00000000">
        <w:rPr>
          <w:rtl w:val="0"/>
        </w:rPr>
        <w:t xml:space="preserve"> </w:t>
      </w:r>
    </w:p>
    <w:p w:rsidR="00000000" w:rsidDel="00000000" w:rsidP="00000000" w:rsidRDefault="00000000" w:rsidRPr="00000000" w14:paraId="00000286">
      <w:pPr>
        <w:spacing w:line="276" w:lineRule="auto"/>
        <w:jc w:val="both"/>
        <w:rPr/>
      </w:pPr>
      <w:r>
        <w:rPr>
          <w:i w:val="1"/>
          <w:iCs w:val="1"/>
          <w:rtl w:val="0"/>
        </w:rPr>
        <w:t xml:space="preserve"> NUNES, Maria das Graças da Silva</w:t>
      </w:r>
      <w:r>
        <w:rPr>
          <w:i w:val="1"/>
          <w:iCs w:val="1"/>
          <w:highlight w:val="yellow"/>
          <w:rtl w:val="0"/>
        </w:rPr>
        <w:t xml:space="preserve">.</w:t>
      </w:r>
      <w:r>
        <w:rPr>
          <w:rtl w:val="0"/>
        </w:rPr>
        <w:t xml:space="preserve"> </w:t>
      </w:r>
      <w:r>
        <w:rPr>
          <w:b w:val="1"/>
          <w:bCs w:val="1"/>
          <w:rtl w:val="0"/>
        </w:rPr>
        <w:t xml:space="preserve">Tecnologias digitais no ciclo de alfabetização</w:t>
      </w:r>
      <w:r>
        <w:rPr>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both"/>
        <w:rPr/>
      </w:pPr>
      <w:r w:rsidDel="00000000" w:rsidR="00000000" w:rsidRPr="00000000">
        <w:rPr>
          <w:rtl w:val="0"/>
        </w:rPr>
        <w:t xml:space="preserve"> </w:t>
      </w:r>
    </w:p>
    <w:p w:rsidR="00000000" w:rsidDel="00000000" w:rsidP="00000000" w:rsidRDefault="00000000" w:rsidRPr="00000000" w14:paraId="00000288">
      <w:pPr>
        <w:spacing w:line="276" w:lineRule="auto"/>
        <w:jc w:val="both"/>
        <w:rPr/>
      </w:pPr>
      <w:r w:rsidDel="00000000" w:rsidR="00000000" w:rsidRPr="00000000">
        <w:rPr>
          <w:rtl w:val="0"/>
        </w:rPr>
        <w:t xml:space="preserve">OCDE. </w:t>
      </w:r>
      <w:r w:rsidDel="00000000" w:rsidR="00000000" w:rsidRPr="00000000">
        <w:rPr>
          <w:b w:val="1"/>
          <w:bCs w:val="1"/>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both"/>
        <w:rPr/>
      </w:pPr>
      <w:r w:rsidDel="00000000" w:rsidR="00000000" w:rsidRPr="00000000">
        <w:rPr>
          <w:rtl w:val="0"/>
        </w:rPr>
        <w:t xml:space="preserve"> </w:t>
      </w:r>
    </w:p>
    <w:p w:rsidR="00000000" w:rsidDel="00000000" w:rsidP="00000000" w:rsidRDefault="00000000" w:rsidRPr="00000000" w14:paraId="0000028A">
      <w:pPr>
        <w:spacing w:line="276" w:lineRule="auto"/>
        <w:jc w:val="both"/>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val="1"/>
          <w:bCs w:val="1"/>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both"/>
        <w:rPr/>
      </w:pPr>
      <w:r w:rsidDel="00000000" w:rsidR="00000000" w:rsidRPr="00000000">
        <w:rPr>
          <w:rtl w:val="0"/>
        </w:rPr>
        <w:t xml:space="preserve"> </w:t>
      </w:r>
    </w:p>
    <w:p w:rsidR="00000000" w:rsidDel="00000000" w:rsidP="00000000" w:rsidRDefault="00000000" w:rsidRPr="00000000" w14:paraId="0000028C">
      <w:pPr>
        <w:spacing w:line="276" w:lineRule="auto"/>
        <w:jc w:val="both"/>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val="1"/>
          <w:bCs w:val="1"/>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both"/>
        <w:rPr/>
      </w:pPr>
      <w:r w:rsidDel="00000000" w:rsidR="00000000" w:rsidRPr="00000000">
        <w:rPr>
          <w:rtl w:val="0"/>
        </w:rPr>
        <w:t xml:space="preserve"> </w:t>
      </w:r>
    </w:p>
    <w:p w:rsidR="00000000" w:rsidDel="00000000" w:rsidP="00000000" w:rsidRDefault="00000000" w:rsidRPr="00000000" w14:paraId="0000028E">
      <w:pPr>
        <w:spacing w:line="276" w:lineRule="auto"/>
        <w:jc w:val="both"/>
        <w:rPr/>
      </w:pPr>
      <w:r w:rsidDel="00000000" w:rsidR="00000000" w:rsidRPr="00000000">
        <w:rPr>
          <w:rtl w:val="0"/>
        </w:rPr>
        <w:t xml:space="preserve">PAGE, Matthew J. et al. A declaração PRISMA 2020: diretriz atualizada para relatar revisões sistemáticas. </w:t>
      </w:r>
      <w:r w:rsidDel="00000000" w:rsidR="00000000" w:rsidRPr="00000000">
        <w:rPr>
          <w:b w:val="1"/>
          <w:bCs w:val="1"/>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both"/>
        <w:rPr/>
      </w:pPr>
      <w:r w:rsidDel="00000000" w:rsidR="00000000" w:rsidRPr="00000000">
        <w:rPr>
          <w:rtl w:val="0"/>
        </w:rPr>
        <w:t xml:space="preserve"> </w:t>
      </w:r>
    </w:p>
    <w:p w:rsidR="00000000" w:rsidDel="00000000" w:rsidP="00000000" w:rsidRDefault="00000000" w:rsidRPr="00000000" w14:paraId="00000290">
      <w:pPr>
        <w:spacing w:line="276" w:lineRule="auto"/>
        <w:jc w:val="both"/>
        <w:rPr/>
      </w:pPr>
      <w:r>
        <w:rPr>
          <w:i w:val="1"/>
          <w:iCs w:val="1"/>
          <w:rtl w:val="0"/>
        </w:rPr>
        <w:t xml:space="preserve"> PAÑOS-CASTRO, Jessica</w:t>
      </w:r>
      <w:r>
        <w:rPr>
          <w:i w:val="1"/>
          <w:iCs w:val="1"/>
          <w:highlight w:val="yellow"/>
          <w:rtl w:val="0"/>
        </w:rPr>
        <w:t xml:space="preserve">;</w:t>
      </w:r>
      <w:r>
        <w:rPr>
          <w:rtl w:val="0"/>
        </w:rPr>
        <w:t xml:space="preserve"> ARRUTI, Arantza; KORRES, Oihane. COVID and ICT in primary education: challenges faced by teachers in the Basque Country. </w:t>
      </w:r>
      <w:r>
        <w:rPr>
          <w:b w:val="1"/>
          <w:bCs w:val="1"/>
          <w:rtl w:val="0"/>
        </w:rPr>
        <w:t xml:space="preserve">Sustainability</w:t>
      </w:r>
      <w:r>
        <w:rPr>
          <w:rtl w:val="0"/>
        </w:rPr>
        <w:t xml:space="preserve">, v. 14, n. 16, art. 10452, 2022. DOI: https://doi.org/10.3390/su141610452.</w:t>
      </w:r>
    </w:p>
    <w:p w:rsidR="00000000" w:rsidDel="00000000" w:rsidP="00000000" w:rsidRDefault="00000000" w:rsidRPr="00000000" w14:paraId="00000291">
      <w:pPr>
        <w:spacing w:line="276" w:lineRule="auto"/>
        <w:jc w:val="both"/>
        <w:rPr/>
      </w:pPr>
      <w:r w:rsidDel="00000000" w:rsidR="00000000" w:rsidRPr="00000000">
        <w:rPr>
          <w:rtl w:val="0"/>
        </w:rPr>
        <w:t xml:space="preserve"> </w:t>
      </w:r>
    </w:p>
    <w:p w:rsidR="00000000" w:rsidDel="00000000" w:rsidP="00000000" w:rsidRDefault="00000000" w:rsidRPr="00000000" w14:paraId="00000292">
      <w:pPr>
        <w:spacing w:line="276" w:lineRule="auto"/>
        <w:jc w:val="both"/>
        <w:rPr/>
      </w:pPr>
      <w:r>
        <w:rPr>
          <w:i w:val="1"/>
          <w:iCs w:val="1"/>
          <w:rtl w:val="0"/>
        </w:rPr>
        <w:t xml:space="preserve">PEREIRA, Max Augusto Franco</w:t>
      </w:r>
      <w:r>
        <w:rPr>
          <w:i w:val="1"/>
          <w:iCs w:val="1"/>
          <w:highlight w:val="yellow"/>
          <w:rtl w:val="0"/>
        </w:rPr>
        <w:t xml:space="preserve">.</w:t>
      </w:r>
      <w:r>
        <w:rPr>
          <w:rtl w:val="0"/>
        </w:rPr>
        <w:t xml:space="preserve"> </w:t>
      </w:r>
      <w:r>
        <w:rPr>
          <w:b w:val="1"/>
          <w:bCs w:val="1"/>
          <w:rtl w:val="0"/>
        </w:rPr>
        <w:t xml:space="preserve">As políticas educacionais para inserção de tecnologias digitais no ensino fundamental em Aracaju</w:t>
      </w:r>
      <w:r>
        <w:rPr>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both"/>
        <w:rPr/>
      </w:pPr>
      <w:r w:rsidDel="00000000" w:rsidR="00000000" w:rsidRPr="00000000">
        <w:rPr>
          <w:rtl w:val="0"/>
        </w:rPr>
        <w:t xml:space="preserve"> </w:t>
      </w:r>
    </w:p>
    <w:p w:rsidR="00000000" w:rsidDel="00000000" w:rsidP="00000000" w:rsidRDefault="00000000" w:rsidRPr="00000000" w14:paraId="00000294">
      <w:pPr>
        <w:spacing w:line="276" w:lineRule="auto"/>
        <w:jc w:val="both"/>
        <w:rPr/>
      </w:pPr>
      <w:r w:rsidDel="00000000" w:rsidR="00000000" w:rsidRPr="00000000">
        <w:rPr>
          <w:rtl w:val="0"/>
        </w:rPr>
        <w:t xml:space="preserve">PRENSKY, Marc. Digital natives, digital immigrants. </w:t>
      </w:r>
      <w:r w:rsidDel="00000000" w:rsidR="00000000" w:rsidRPr="00000000">
        <w:rPr>
          <w:b w:val="1"/>
          <w:bCs w:val="1"/>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both"/>
        <w:rPr/>
      </w:pPr>
      <w:r w:rsidDel="00000000" w:rsidR="00000000" w:rsidRPr="00000000">
        <w:rPr>
          <w:rtl w:val="0"/>
        </w:rPr>
        <w:t xml:space="preserve"> </w:t>
      </w:r>
    </w:p>
    <w:p w:rsidR="00000000" w:rsidDel="00000000" w:rsidP="00000000" w:rsidRDefault="00000000" w:rsidRPr="00000000" w14:paraId="00000296">
      <w:pPr>
        <w:spacing w:line="276" w:lineRule="auto"/>
        <w:jc w:val="both"/>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val="1"/>
          <w:bCs w:val="1"/>
          <w:rtl w:val="0"/>
        </w:rPr>
        <w:t xml:space="preserve">Current Issues in Comparative Education</w:t>
      </w:r>
      <w:r w:rsidDel="00000000" w:rsidR="00000000" w:rsidRPr="00000000">
        <w:rPr>
          <w:rtl w:val="0"/>
        </w:rPr>
        <w:t xml:space="preserve">, Nova York, v. 24, n. 2, p. 204-216, 2022. DOI: </w:t>
      </w:r>
      <w:r w:rsidDel="00000000" w:rsidR="00000000" w:rsidRPr="00000000">
        <w:rPr>
          <w:rtl w:val="0"/>
        </w:rPr>
        <w:t xml:space="preserve">https://doi.org/10.52214/cice.v24i2.9497.</w:t>
      </w:r>
    </w:p>
    <w:p w:rsidR="00000000" w:rsidDel="00000000" w:rsidP="00000000" w:rsidRDefault="00000000" w:rsidRPr="00000000" w14:paraId="00000297">
      <w:pPr>
        <w:spacing w:line="276" w:lineRule="auto"/>
        <w:jc w:val="both"/>
        <w:rPr/>
      </w:pPr>
      <w:r w:rsidDel="00000000" w:rsidR="00000000" w:rsidRPr="00000000">
        <w:rPr>
          <w:rtl w:val="0"/>
        </w:rPr>
        <w:t xml:space="preserve"> </w:t>
      </w:r>
    </w:p>
    <w:p w:rsidR="00000000" w:rsidDel="00000000" w:rsidP="00000000" w:rsidRDefault="00000000" w:rsidRPr="00000000" w14:paraId="00000298">
      <w:pPr>
        <w:spacing w:line="276" w:lineRule="auto"/>
        <w:jc w:val="both"/>
        <w:rPr/>
      </w:pPr>
      <w:r w:rsidDel="00000000" w:rsidR="00000000" w:rsidRPr="00000000">
        <w:rPr>
          <w:rtl w:val="0"/>
        </w:rPr>
        <w:t xml:space="preserve">ROJO, Roxane.</w:t>
      </w:r>
      <w:r w:rsidDel="00000000" w:rsidR="00000000" w:rsidRPr="00000000">
        <w:rPr>
          <w:rtl w:val="0"/>
        </w:rPr>
        <w:t xml:space="preserve"> </w:t>
      </w:r>
      <w:r w:rsidDel="00000000" w:rsidR="00000000" w:rsidRPr="00000000">
        <w:rPr>
          <w:rtl w:val="0"/>
        </w:rPr>
        <w:t xml:space="preserve">Gêneros discursivos do Círculo de Bakhtin e multiletramentos.</w:t>
      </w:r>
      <w:r w:rsidDel="00000000" w:rsidR="00000000" w:rsidRPr="00000000">
        <w:rPr>
          <w:rtl w:val="0"/>
        </w:rPr>
        <w:t xml:space="preserve"> In: ROJO, Roxane (org.). </w:t>
      </w:r>
      <w:r w:rsidDel="00000000" w:rsidR="00000000" w:rsidRPr="00000000">
        <w:rPr>
          <w:b w:val="1"/>
          <w:bCs w:val="1"/>
          <w:rtl w:val="0"/>
        </w:rPr>
        <w:t xml:space="preserve">Escol@ conectada</w:t>
      </w:r>
      <w:r w:rsidDel="00000000" w:rsidR="00000000" w:rsidRPr="00000000">
        <w:rPr>
          <w:rtl w:val="0"/>
        </w:rPr>
        <w:t xml:space="preserve">: os multiletramentos e as TICs. São Paulo: </w:t>
      </w:r>
      <w:r w:rsidDel="00000000" w:rsidR="00000000" w:rsidRPr="00000000">
        <w:rPr>
          <w:rtl w:val="0"/>
        </w:rPr>
        <w:t xml:space="preserve">Parábola, 2013. p. 13-36.</w:t>
      </w:r>
    </w:p>
    <w:p w:rsidR="00000000" w:rsidDel="00000000" w:rsidP="00000000" w:rsidRDefault="00000000" w:rsidRPr="00000000" w14:paraId="00000299">
      <w:pPr>
        <w:spacing w:line="276" w:lineRule="auto"/>
        <w:jc w:val="both"/>
        <w:rPr/>
      </w:pPr>
      <w:r w:rsidDel="00000000" w:rsidR="00000000" w:rsidRPr="00000000">
        <w:rPr>
          <w:rtl w:val="0"/>
        </w:rPr>
        <w:t xml:space="preserve"> </w:t>
      </w:r>
    </w:p>
    <w:p w:rsidR="00000000" w:rsidDel="00000000" w:rsidP="00000000" w:rsidRDefault="00000000" w:rsidRPr="00000000" w14:paraId="0000029A">
      <w:pPr>
        <w:spacing w:line="276" w:lineRule="auto"/>
        <w:jc w:val="both"/>
        <w:rPr/>
      </w:pPr>
      <w:r w:rsidDel="00000000" w:rsidR="00000000" w:rsidRPr="00000000">
        <w:rPr>
          <w:rtl w:val="0"/>
        </w:rPr>
        <w:t xml:space="preserve">SOJA, Edward W. </w:t>
      </w:r>
      <w:r w:rsidDel="00000000" w:rsidR="00000000" w:rsidRPr="00000000">
        <w:rPr>
          <w:b w:val="1"/>
          <w:bCs w:val="1"/>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both"/>
        <w:rPr/>
      </w:pPr>
      <w:r w:rsidDel="00000000" w:rsidR="00000000" w:rsidRPr="00000000">
        <w:rPr>
          <w:rtl w:val="0"/>
        </w:rPr>
        <w:t xml:space="preserve"> </w:t>
      </w:r>
    </w:p>
    <w:p w:rsidR="00000000" w:rsidDel="00000000" w:rsidP="00000000" w:rsidRDefault="00000000" w:rsidRPr="00000000" w14:paraId="0000029C">
      <w:pPr>
        <w:spacing w:line="276" w:lineRule="auto"/>
        <w:jc w:val="both"/>
        <w:rPr/>
      </w:pPr>
      <w:r w:rsidDel="00000000" w:rsidR="00000000" w:rsidRPr="00000000">
        <w:rPr>
          <w:rtl w:val="0"/>
        </w:rPr>
        <w:t xml:space="preserve">THOMAS, James; HARDEN, Angela. Methods for the thematic synthesis of qualitative research in systematic reviews. </w:t>
      </w:r>
      <w:r w:rsidDel="00000000" w:rsidR="00000000" w:rsidRPr="00000000">
        <w:rPr>
          <w:b w:val="1"/>
          <w:bCs w:val="1"/>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both"/>
        <w:rPr/>
      </w:pPr>
      <w:r w:rsidDel="00000000" w:rsidR="00000000" w:rsidRPr="00000000">
        <w:rPr>
          <w:rtl w:val="0"/>
        </w:rPr>
        <w:t xml:space="preserve"> </w:t>
      </w:r>
    </w:p>
    <w:p w:rsidR="00000000" w:rsidDel="00000000" w:rsidP="00000000" w:rsidRDefault="00000000" w:rsidRPr="00000000" w14:paraId="0000029E">
      <w:pPr>
        <w:spacing w:line="276" w:lineRule="auto"/>
        <w:jc w:val="both"/>
        <w:rPr/>
      </w:pPr>
      <w:r>
        <w:rPr>
          <w:i w:val="1"/>
          <w:iCs w:val="1"/>
          <w:rtl w:val="0"/>
        </w:rPr>
        <w:t xml:space="preserve">TUSSI, Graziela Bergonsi</w:t>
      </w:r>
      <w:r>
        <w:rPr>
          <w:i w:val="1"/>
          <w:iCs w:val="1"/>
          <w:highlight w:val="yellow"/>
          <w:rtl w:val="0"/>
        </w:rPr>
        <w:t xml:space="preserve">.</w:t>
      </w:r>
      <w:r>
        <w:rPr>
          <w:rtl w:val="0"/>
        </w:rPr>
        <w:t xml:space="preserve"> </w:t>
      </w:r>
      <w:r>
        <w:rPr>
          <w:b w:val="1"/>
          <w:bCs w:val="1"/>
          <w:rtl w:val="0"/>
        </w:rPr>
        <w:t xml:space="preserve">Caminhos metodológicos para a construção de uma política pública de computação no município de Passo Fundo – RS</w:t>
      </w:r>
      <w:r>
        <w:rPr>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both"/>
        <w:rPr/>
      </w:pPr>
      <w:r w:rsidDel="00000000" w:rsidR="00000000" w:rsidRPr="00000000">
        <w:rPr>
          <w:rtl w:val="0"/>
        </w:rPr>
        <w:t xml:space="preserve"> </w:t>
      </w:r>
    </w:p>
    <w:p w:rsidR="00000000" w:rsidDel="00000000" w:rsidP="00000000" w:rsidRDefault="00000000" w:rsidRPr="00000000" w14:paraId="000002A0">
      <w:pPr>
        <w:spacing w:line="276" w:lineRule="auto"/>
        <w:jc w:val="both"/>
        <w:rPr/>
      </w:pPr>
      <w:r w:rsidDel="00000000" w:rsidR="00000000" w:rsidRPr="00000000">
        <w:rPr>
          <w:rtl w:val="0"/>
        </w:rPr>
        <w:t xml:space="preserve">UNESCO. </w:t>
      </w:r>
      <w:r w:rsidDel="00000000" w:rsidR="00000000" w:rsidRPr="00000000">
        <w:rPr>
          <w:b w:val="1"/>
          <w:bCs w:val="1"/>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both"/>
        <w:rPr/>
      </w:pPr>
      <w:r w:rsidDel="00000000" w:rsidR="00000000" w:rsidRPr="00000000">
        <w:rPr>
          <w:rtl w:val="0"/>
        </w:rPr>
        <w:t xml:space="preserve"> </w:t>
      </w:r>
    </w:p>
    <w:p w:rsidR="00000000" w:rsidDel="00000000" w:rsidP="00000000" w:rsidRDefault="00000000" w:rsidRPr="00000000" w14:paraId="000002A2">
      <w:pPr>
        <w:spacing w:line="276" w:lineRule="auto"/>
        <w:jc w:val="both"/>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val="1"/>
          <w:bCs w:val="1"/>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both"/>
        <w:rPr/>
      </w:pPr>
      <w:r w:rsidDel="00000000" w:rsidR="00000000" w:rsidRPr="00000000">
        <w:rPr>
          <w:rtl w:val="0"/>
        </w:rPr>
        <w:t xml:space="preserve"> </w:t>
      </w:r>
    </w:p>
    <w:p w:rsidR="00000000" w:rsidDel="00000000" w:rsidP="00000000" w:rsidRDefault="00000000" w:rsidRPr="00000000" w14:paraId="000002A4">
      <w:pPr>
        <w:spacing w:line="276" w:lineRule="auto"/>
        <w:jc w:val="both"/>
        <w:rPr/>
      </w:pPr>
      <w:r>
        <w:rPr>
          <w:i w:val="1"/>
          <w:iCs w:val="1"/>
          <w:rtl w:val="0"/>
        </w:rPr>
        <w:t xml:space="preserve">WILLIAMS, Kate Maloney</w:t>
      </w:r>
      <w:r>
        <w:rPr>
          <w:i w:val="1"/>
          <w:iCs w:val="1"/>
          <w:highlight w:val="yellow"/>
          <w:rtl w:val="0"/>
        </w:rPr>
        <w:t xml:space="preserve">.</w:t>
      </w:r>
      <w:r>
        <w:rPr>
          <w:rtl w:val="0"/>
        </w:rPr>
        <w:t xml:space="preserve"> Exploring new literacies: a case study on technology and teacher development in Cuban primary schools. </w:t>
      </w:r>
      <w:r>
        <w:rPr>
          <w:b w:val="1"/>
          <w:bCs w:val="1"/>
          <w:rtl w:val="0"/>
        </w:rPr>
        <w:t xml:space="preserve">Journal of Media Literacy Education</w:t>
      </w:r>
      <w:r>
        <w:rPr>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spacing w:after="0" w:before="0" w:lineRule="auto"/>
        <w:jc w:val="both"/>
        <w:rPr>
          <w:b w:val="1"/>
          <w:bCs w:val="1"/>
          <w:color w:val="000000"/>
          <w:sz w:val="24"/>
          <w:szCs w:val="24"/>
        </w:rPr>
      </w:pPr>
      <w:bookmarkStart w:colFirst="0" w:colLast="0" w:name="_heading=h.ntvxp83bnvn7" w:id="21"/>
      <w:bookmarkEnd w:id="21"/>
      <w:r w:rsidDel="00000000" w:rsidR="00000000" w:rsidRPr="00000000">
        <w:rPr>
          <w:b w:val="1"/>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4285714285716"/>
        <w:gridCol w:w="1296.4285714285716"/>
        <w:gridCol w:w="1296.4285714285716"/>
        <w:gridCol w:w="1296.4285714285716"/>
        <w:gridCol w:w="1296.4285714285716"/>
        <w:gridCol w:w="1296.4285714285716"/>
        <w:gridCol w:w="1296.4285714285716"/>
        <w:tblGridChange w:id="0">
          <w:tblGrid>
            <w:gridCol w:w="1296.4285714285716"/>
            <w:gridCol w:w="1296.4285714285716"/>
            <w:gridCol w:w="1296.4285714285716"/>
            <w:gridCol w:w="1296.4285714285716"/>
            <w:gridCol w:w="1296.4285714285716"/>
            <w:gridCol w:w="1296.4285714285716"/>
            <w:gridCol w:w="1296.428571428571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spacing w:after="0" w:before="0" w:lineRule="auto"/>
        <w:jc w:val="both"/>
        <w:rPr>
          <w:b w:val="1"/>
          <w:bCs w:val="1"/>
          <w:color w:val="000000"/>
          <w:sz w:val="24"/>
          <w:szCs w:val="24"/>
        </w:rPr>
      </w:pPr>
      <w:bookmarkStart w:colFirst="0" w:colLast="0" w:name="_heading=h.d3ae6lbdtx3l" w:id="22"/>
      <w:bookmarkEnd w:id="22"/>
      <w:r w:rsidDel="00000000" w:rsidR="00000000" w:rsidRPr="00000000">
        <w:rPr>
          <w:b w:val="1"/>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spacing w:after="0" w:before="0" w:lineRule="auto"/>
        <w:jc w:val="both"/>
        <w:rPr>
          <w:b w:val="1"/>
          <w:bCs w:val="1"/>
          <w:color w:val="000000"/>
          <w:sz w:val="24"/>
          <w:szCs w:val="24"/>
        </w:rPr>
      </w:pPr>
      <w:bookmarkStart w:colFirst="0" w:colLast="0" w:name="_heading=h.cu50sdyufnau" w:id="23"/>
      <w:bookmarkEnd w:id="23"/>
      <w:r w:rsidDel="00000000" w:rsidR="00000000" w:rsidRPr="00000000">
        <w:rPr>
          <w:b w:val="1"/>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