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– alinhamento dos capítulos ao novo projeto</w:t>
      </w:r>
    </w:p>
    <w:p>
      <w:r>
        <w:t>Os arquivos desta pasta trazem em amarelo todo o texto corrigido em relação aos originais, incluindo a revisão anterior de estilo e as mudanças desta etapa. Não há texto tachado: o que saiu foi apenas removido.</w:t>
      </w:r>
    </w:p>
    <w:p>
      <w:pPr>
        <w:pStyle w:val="Heading2"/>
      </w:pPr>
      <w:r>
        <w:t>Fio condutor adotado em todos os capítulos</w:t>
      </w:r>
    </w:p>
    <w:p>
      <w:pPr>
        <w:pStyle w:val="ListBullet"/>
      </w:pPr>
      <w:r>
        <w:t>Objeto: a encenação (interpretação e tradução) da PNED pelos profissionais que atuam com as turmas de 1º e 2º anos da Escola Municipal Domitila Castelo.</w:t>
      </w:r>
    </w:p>
    <w:p>
      <w:pPr>
        <w:pStyle w:val="ListBullet"/>
      </w:pPr>
      <w:r>
        <w:t>Questão norteadora, objetivo geral e três objetivos específicos idênticos aos do projeto.</w:t>
      </w:r>
    </w:p>
    <w:p>
      <w:pPr>
        <w:pStyle w:val="ListBullet"/>
      </w:pPr>
      <w:r>
        <w:t>Referencial: ACP (Bowe, Ball e Gold; Mainardes) e teoria da atuação (Ball, Maguire e Braun), com as quatro dimensões do contexto, culturas profissionais (Hargreaves), performatividade e fabricações (Ball), habitar o digital e direitos da criança no ambiente digital (ONU, Comentário Geral nº 25).</w:t>
      </w:r>
    </w:p>
    <w:p>
      <w:pPr>
        <w:pStyle w:val="ListBullet"/>
      </w:pPr>
      <w:r>
        <w:t>Hipótese: território e culturas profissionais operam como espaços de ressignificação ou de resistência; critérios de sustentação, delimitação, renomeação ou recusa fixados no Capítulo 4.</w:t>
      </w:r>
    </w:p>
    <w:p>
      <w:pPr>
        <w:pStyle w:val="ListBullet"/>
      </w:pPr>
      <w:r>
        <w:t>Lipsky, burocracia de nível de rua e discricionariedade substitutiva foram retirados do texto e das referências de todos os capítulos.</w:t>
      </w:r>
    </w:p>
    <w:p>
      <w:pPr>
        <w:pStyle w:val="Heading2"/>
      </w:pPr>
      <w:r>
        <w:t>Por capítulo</w:t>
      </w:r>
    </w:p>
    <w:p>
      <w:pPr>
        <w:pStyle w:val="ListBullet"/>
      </w:pPr>
      <w:r>
        <w:t>Cap. 1: objeto, questão, objetivos, justificativa (culturas profissionais e performatividade no lugar de Lipsky), seção 1.4 reescrita como hipótese e ineditismo em três dimensões, arquitetura da tese e fechamento com a pergunta do projeto.</w:t>
      </w:r>
    </w:p>
    <w:p>
      <w:pPr>
        <w:pStyle w:val="ListBullet"/>
      </w:pPr>
      <w:r>
        <w:t>Cap. 2: a lacuna e a contribuição passam a apontar culturas profissionais, pressões por resultados e condição ausente; o termo implementação é mantido para os estudos revisados, com nota de que a tese fala em encenação.</w:t>
      </w:r>
    </w:p>
    <w:p>
      <w:pPr>
        <w:pStyle w:val="ListBullet"/>
      </w:pPr>
      <w:r>
        <w:t>Cap. 4: seções 4.2 e 4.3 reescritas (teoria da atuação, quatro dimensões, mapeamento da recontextualização: acomodação, omissão seletiva, tradução para fins locais, fabricação performativa); Quadro 9 refeito; Secretaria retirada do grupo de participantes (onze profissionais); matriz de análise atualizada; Apêndices B e C substituídos pelos novos instrumentos.</w:t>
      </w:r>
    </w:p>
    <w:p>
      <w:pPr>
        <w:pStyle w:val="ListBullet"/>
      </w:pPr>
      <w:r>
        <w:t>Cap. 5: o capítulo passa a oferecer a base para os objetivos (a) e (c); novo parágrafo sobre autodiagnóstico e monitoramento como possíveis fontes de performatividade; conclusão reescrita.</w:t>
      </w:r>
    </w:p>
    <w:p>
      <w:pPr>
        <w:pStyle w:val="ListBullet"/>
      </w:pPr>
      <w:r>
        <w:t>Cap. 6: o capítulo dá materialidade às dimensões situacional e material e sustenta o objetivo (b); Lipsky substituído pela teoria da atuação; títulos 6.4 e 6.4.3 passam a falar em encenação.</w:t>
      </w:r>
    </w:p>
    <w:p>
      <w:pPr>
        <w:pStyle w:val="ListBullet"/>
      </w:pPr>
      <w:r>
        <w:t>Projeto: atualizado para ficar idêntico aos capítulos (1º e 2º anos, onze participantes, dimensões do contexto atribuídas a Ball, Maguire e Braun, 2016, questionário sem a pergunta sobre meios próprios).</w:t>
      </w:r>
    </w:p>
    <w:p>
      <w:pPr>
        <w:pStyle w:val="Heading2"/>
      </w:pPr>
      <w:r>
        <w:t>Decisões que precisam da sua confirmação</w:t>
      </w:r>
    </w:p>
    <w:p>
      <w:pPr>
        <w:pStyle w:val="ListBullet"/>
      </w:pPr>
      <w:r>
        <w:t>Secretaria Municipal de Educação fora do grupo de participantes: segui o projeto (direção, coordenação e docentes). Os documentos da Secretaria continuam como fonte.</w:t>
      </w:r>
    </w:p>
    <w:p>
      <w:pPr>
        <w:pStyle w:val="ListBullet"/>
      </w:pPr>
      <w:r>
        <w:t>Número de participantes: onze, resultado de retirar o técnico da Secretaria dos doze anteriores.</w:t>
      </w:r>
    </w:p>
    <w:p>
      <w:pPr>
        <w:pStyle w:val="ListBullet"/>
      </w:pPr>
      <w:r>
        <w:t>Recorte mantido no 1º e no 2º anos, como nos capítulos e na apresentação.</w:t>
      </w:r>
    </w:p>
    <w:p>
      <w:pPr>
        <w:pStyle w:val="ListBullet"/>
      </w:pPr>
      <w:r>
        <w:t>Encenação como termo da tese; atuação apenas quando se cita Ball, Maguire e Braun.</w:t>
      </w:r>
    </w:p>
    <w:p>
      <w:pPr>
        <w:pStyle w:val="Heading2"/>
      </w:pPr>
      <w:r>
        <w:t>Conferir antes do depósito</w:t>
      </w:r>
    </w:p>
    <w:p>
      <w:pPr>
        <w:pStyle w:val="ListBullet"/>
      </w:pPr>
      <w:r>
        <w:t>BALL, 2002 (Revista Portuguesa de Educação, v. 15, n. 2): citado de forma indireta sobre fabricações; conferir dados da referência.</w:t>
      </w:r>
    </w:p>
    <w:p>
      <w:pPr>
        <w:pStyle w:val="ListBullet"/>
      </w:pPr>
      <w:r>
        <w:t>HARGREAVES, 1998 (edição portuguesa, McGraw-Hill): conferir edição consultada.</w:t>
      </w:r>
    </w:p>
    <w:p>
      <w:pPr>
        <w:pStyle w:val="ListBullet"/>
      </w:pPr>
      <w:r>
        <w:t>ONU, Comentário Geral nº 25 (2021): conferir formato da referência e, se houver, a versão em português usada.</w:t>
      </w:r>
    </w:p>
    <w:p>
      <w:pPr>
        <w:pStyle w:val="ListBullet"/>
      </w:pPr>
      <w:r>
        <w:t>Ball, Maguire e Braun (2016): a tipologia de posições diante da política (quem narra, traduz, critica, recebe) foi citada de forma indireta, sem página; conferir no capítulo correspondente.</w:t>
      </w:r>
    </w:p>
    <w:p>
      <w:pPr>
        <w:pStyle w:val="ListBullet"/>
      </w:pPr>
      <w:r>
        <w:t>O Capítulo 3 ainda está em construção; a Introdução descreve o que ele deverá conter (incluindo habitar o digital, culturas profissionais, performatividade e direitos da criança).</w:t>
      </w:r>
    </w:p>
    <w:p>
      <w:pPr>
        <w:pStyle w:val="ListBullet"/>
      </w:pPr>
      <w:r>
        <w:t>Emenda ao CEP: os instrumentos mudaram e o texto já prevê a emenda.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