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Roteiro de fala – Qualificação de doutorado (20 minutos)</w:t>
      </w:r>
    </w:p>
    <w:p>
      <w:r>
        <w:t>Tese: A política no canteiro da prática: norma, território e atuação profissional na implementação da educação digital escolar nos anos iniciais. Pesquisadora: Yzynya Silva Rezende Machado. Orientadora: Dra. Maria Cristina Leandro de Paiva.</w:t>
      </w:r>
    </w:p>
    <w:p>
      <w:r>
        <w:t>Como usar: o tempo de cada slide e o tempo acumulado ao lado servem de referência para o ensaio. O roteiro tem cerca de 1.900 palavras. Lido a 100 palavras por minuto, ritmo de quem fala com pausas, aponta para o slide e troca de tela, ocupa entre 19 e 20 minutos; lido depressa, cai para 15. Cronometre um ensaio completo. As frases são curtas para facilitar a leitura em voz alta; adapte livremente ao seu jeito de falar. Se o tempo apertar, os slides 2, 15 e 18 podem ser encurtados sem prejuízo do argumento.</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t>Slide</w:t>
            </w:r>
          </w:p>
        </w:tc>
        <w:tc>
          <w:tcPr>
            <w:tcW w:type="dxa" w:w="2351"/>
          </w:tcPr>
          <w:p>
            <w:r>
              <w:t>Título</w:t>
            </w:r>
          </w:p>
        </w:tc>
        <w:tc>
          <w:tcPr>
            <w:tcW w:type="dxa" w:w="2351"/>
          </w:tcPr>
          <w:p>
            <w:r>
              <w:t>Tempo</w:t>
            </w:r>
          </w:p>
        </w:tc>
        <w:tc>
          <w:tcPr>
            <w:tcW w:type="dxa" w:w="2351"/>
          </w:tcPr>
          <w:p>
            <w:r>
              <w:t>Acumulado</w:t>
            </w:r>
          </w:p>
        </w:tc>
      </w:tr>
      <w:tr>
        <w:tc>
          <w:tcPr>
            <w:tcW w:type="dxa" w:w="2351"/>
          </w:tcPr>
          <w:p>
            <w:r>
              <w:t>1</w:t>
            </w:r>
          </w:p>
        </w:tc>
        <w:tc>
          <w:tcPr>
            <w:tcW w:type="dxa" w:w="2351"/>
          </w:tcPr>
          <w:p>
            <w:r>
              <w:t>Título</w:t>
            </w:r>
          </w:p>
        </w:tc>
        <w:tc>
          <w:tcPr>
            <w:tcW w:type="dxa" w:w="2351"/>
          </w:tcPr>
          <w:p>
            <w:r>
              <w:t>0:30</w:t>
            </w:r>
          </w:p>
        </w:tc>
        <w:tc>
          <w:tcPr>
            <w:tcW w:type="dxa" w:w="2351"/>
          </w:tcPr>
          <w:p>
            <w:r>
              <w:t>00:30</w:t>
            </w:r>
          </w:p>
        </w:tc>
      </w:tr>
      <w:tr>
        <w:tc>
          <w:tcPr>
            <w:tcW w:type="dxa" w:w="2351"/>
          </w:tcPr>
          <w:p>
            <w:r>
              <w:t>2</w:t>
            </w:r>
          </w:p>
        </w:tc>
        <w:tc>
          <w:tcPr>
            <w:tcW w:type="dxa" w:w="2351"/>
          </w:tcPr>
          <w:p>
            <w:r>
              <w:t>Percurso da apresentação</w:t>
            </w:r>
          </w:p>
        </w:tc>
        <w:tc>
          <w:tcPr>
            <w:tcW w:type="dxa" w:w="2351"/>
          </w:tcPr>
          <w:p>
            <w:r>
              <w:t>0:20</w:t>
            </w:r>
          </w:p>
        </w:tc>
        <w:tc>
          <w:tcPr>
            <w:tcW w:type="dxa" w:w="2351"/>
          </w:tcPr>
          <w:p>
            <w:r>
              <w:t>00:50</w:t>
            </w:r>
          </w:p>
        </w:tc>
      </w:tr>
      <w:tr>
        <w:tc>
          <w:tcPr>
            <w:tcW w:type="dxa" w:w="2351"/>
          </w:tcPr>
          <w:p>
            <w:r>
              <w:t>3</w:t>
            </w:r>
          </w:p>
        </w:tc>
        <w:tc>
          <w:tcPr>
            <w:tcW w:type="dxa" w:w="2351"/>
          </w:tcPr>
          <w:p>
            <w:r>
              <w:t>A tese em uma imagem: o vazio material</w:t>
            </w:r>
          </w:p>
        </w:tc>
        <w:tc>
          <w:tcPr>
            <w:tcW w:type="dxa" w:w="2351"/>
          </w:tcPr>
          <w:p>
            <w:r>
              <w:t>1:15</w:t>
            </w:r>
          </w:p>
        </w:tc>
        <w:tc>
          <w:tcPr>
            <w:tcW w:type="dxa" w:w="2351"/>
          </w:tcPr>
          <w:p>
            <w:r>
              <w:t>02:05</w:t>
            </w:r>
          </w:p>
        </w:tc>
      </w:tr>
      <w:tr>
        <w:tc>
          <w:tcPr>
            <w:tcW w:type="dxa" w:w="2351"/>
          </w:tcPr>
          <w:p>
            <w:r>
              <w:t>4</w:t>
            </w:r>
          </w:p>
        </w:tc>
        <w:tc>
          <w:tcPr>
            <w:tcW w:type="dxa" w:w="2351"/>
          </w:tcPr>
          <w:p>
            <w:r>
              <w:t>Trajetória: de onde parto</w:t>
            </w:r>
          </w:p>
        </w:tc>
        <w:tc>
          <w:tcPr>
            <w:tcW w:type="dxa" w:w="2351"/>
          </w:tcPr>
          <w:p>
            <w:r>
              <w:t>1:00</w:t>
            </w:r>
          </w:p>
        </w:tc>
        <w:tc>
          <w:tcPr>
            <w:tcW w:type="dxa" w:w="2351"/>
          </w:tcPr>
          <w:p>
            <w:r>
              <w:t>03:05</w:t>
            </w:r>
          </w:p>
        </w:tc>
      </w:tr>
      <w:tr>
        <w:tc>
          <w:tcPr>
            <w:tcW w:type="dxa" w:w="2351"/>
          </w:tcPr>
          <w:p>
            <w:r>
              <w:t>5</w:t>
            </w:r>
          </w:p>
        </w:tc>
        <w:tc>
          <w:tcPr>
            <w:tcW w:type="dxa" w:w="2351"/>
          </w:tcPr>
          <w:p>
            <w:r>
              <w:t>O objeto e o recorte</w:t>
            </w:r>
          </w:p>
        </w:tc>
        <w:tc>
          <w:tcPr>
            <w:tcW w:type="dxa" w:w="2351"/>
          </w:tcPr>
          <w:p>
            <w:r>
              <w:t>1:00</w:t>
            </w:r>
          </w:p>
        </w:tc>
        <w:tc>
          <w:tcPr>
            <w:tcW w:type="dxa" w:w="2351"/>
          </w:tcPr>
          <w:p>
            <w:r>
              <w:t>04:05</w:t>
            </w:r>
          </w:p>
        </w:tc>
      </w:tr>
      <w:tr>
        <w:tc>
          <w:tcPr>
            <w:tcW w:type="dxa" w:w="2351"/>
          </w:tcPr>
          <w:p>
            <w:r>
              <w:t>6</w:t>
            </w:r>
          </w:p>
        </w:tc>
        <w:tc>
          <w:tcPr>
            <w:tcW w:type="dxa" w:w="2351"/>
          </w:tcPr>
          <w:p>
            <w:r>
              <w:t>Do portão para fora, do portão para dentro</w:t>
            </w:r>
          </w:p>
        </w:tc>
        <w:tc>
          <w:tcPr>
            <w:tcW w:type="dxa" w:w="2351"/>
          </w:tcPr>
          <w:p>
            <w:r>
              <w:t>1:00</w:t>
            </w:r>
          </w:p>
        </w:tc>
        <w:tc>
          <w:tcPr>
            <w:tcW w:type="dxa" w:w="2351"/>
          </w:tcPr>
          <w:p>
            <w:r>
              <w:t>05:05</w:t>
            </w:r>
          </w:p>
        </w:tc>
      </w:tr>
      <w:tr>
        <w:tc>
          <w:tcPr>
            <w:tcW w:type="dxa" w:w="2351"/>
          </w:tcPr>
          <w:p>
            <w:r>
              <w:t>7</w:t>
            </w:r>
          </w:p>
        </w:tc>
        <w:tc>
          <w:tcPr>
            <w:tcW w:type="dxa" w:w="2351"/>
          </w:tcPr>
          <w:p>
            <w:r>
              <w:t>Questão norteadora e objetivos</w:t>
            </w:r>
          </w:p>
        </w:tc>
        <w:tc>
          <w:tcPr>
            <w:tcW w:type="dxa" w:w="2351"/>
          </w:tcPr>
          <w:p>
            <w:r>
              <w:t>1:00</w:t>
            </w:r>
          </w:p>
        </w:tc>
        <w:tc>
          <w:tcPr>
            <w:tcW w:type="dxa" w:w="2351"/>
          </w:tcPr>
          <w:p>
            <w:r>
              <w:t>06:05</w:t>
            </w:r>
          </w:p>
        </w:tc>
      </w:tr>
      <w:tr>
        <w:tc>
          <w:tcPr>
            <w:tcW w:type="dxa" w:w="2351"/>
          </w:tcPr>
          <w:p>
            <w:r>
              <w:t>8</w:t>
            </w:r>
          </w:p>
        </w:tc>
        <w:tc>
          <w:tcPr>
            <w:tcW w:type="dxa" w:w="2351"/>
          </w:tcPr>
          <w:p>
            <w:r>
              <w:t>Contribuição inédita: discricionariedade substitutiva</w:t>
            </w:r>
          </w:p>
        </w:tc>
        <w:tc>
          <w:tcPr>
            <w:tcW w:type="dxa" w:w="2351"/>
          </w:tcPr>
          <w:p>
            <w:r>
              <w:t>1:15</w:t>
            </w:r>
          </w:p>
        </w:tc>
        <w:tc>
          <w:tcPr>
            <w:tcW w:type="dxa" w:w="2351"/>
          </w:tcPr>
          <w:p>
            <w:r>
              <w:t>07:20</w:t>
            </w:r>
          </w:p>
        </w:tc>
      </w:tr>
      <w:tr>
        <w:tc>
          <w:tcPr>
            <w:tcW w:type="dxa" w:w="2351"/>
          </w:tcPr>
          <w:p>
            <w:r>
              <w:t>9</w:t>
            </w:r>
          </w:p>
        </w:tc>
        <w:tc>
          <w:tcPr>
            <w:tcW w:type="dxa" w:w="2351"/>
          </w:tcPr>
          <w:p>
            <w:r>
              <w:t>O motor teórico: duas engrenagens e o fosso</w:t>
            </w:r>
          </w:p>
        </w:tc>
        <w:tc>
          <w:tcPr>
            <w:tcW w:type="dxa" w:w="2351"/>
          </w:tcPr>
          <w:p>
            <w:r>
              <w:t>1:15</w:t>
            </w:r>
          </w:p>
        </w:tc>
        <w:tc>
          <w:tcPr>
            <w:tcW w:type="dxa" w:w="2351"/>
          </w:tcPr>
          <w:p>
            <w:r>
              <w:t>08:35</w:t>
            </w:r>
          </w:p>
        </w:tc>
      </w:tr>
      <w:tr>
        <w:tc>
          <w:tcPr>
            <w:tcW w:type="dxa" w:w="2351"/>
          </w:tcPr>
          <w:p>
            <w:r>
              <w:t>10</w:t>
            </w:r>
          </w:p>
        </w:tc>
        <w:tc>
          <w:tcPr>
            <w:tcW w:type="dxa" w:w="2351"/>
          </w:tcPr>
          <w:p>
            <w:r>
              <w:t>A revisão sistemática: questão e resposta</w:t>
            </w:r>
          </w:p>
        </w:tc>
        <w:tc>
          <w:tcPr>
            <w:tcW w:type="dxa" w:w="2351"/>
          </w:tcPr>
          <w:p>
            <w:r>
              <w:t>1:15</w:t>
            </w:r>
          </w:p>
        </w:tc>
        <w:tc>
          <w:tcPr>
            <w:tcW w:type="dxa" w:w="2351"/>
          </w:tcPr>
          <w:p>
            <w:r>
              <w:t>09:50</w:t>
            </w:r>
          </w:p>
        </w:tc>
      </w:tr>
      <w:tr>
        <w:tc>
          <w:tcPr>
            <w:tcW w:type="dxa" w:w="2351"/>
          </w:tcPr>
          <w:p>
            <w:r>
              <w:t>11</w:t>
            </w:r>
          </w:p>
        </w:tc>
        <w:tc>
          <w:tcPr>
            <w:tcW w:type="dxa" w:w="2351"/>
          </w:tcPr>
          <w:p>
            <w:r>
              <w:t>Desenho: estudo de caso único, qualitativo</w:t>
            </w:r>
          </w:p>
        </w:tc>
        <w:tc>
          <w:tcPr>
            <w:tcW w:type="dxa" w:w="2351"/>
          </w:tcPr>
          <w:p>
            <w:r>
              <w:t>1:00</w:t>
            </w:r>
          </w:p>
        </w:tc>
        <w:tc>
          <w:tcPr>
            <w:tcW w:type="dxa" w:w="2351"/>
          </w:tcPr>
          <w:p>
            <w:r>
              <w:t>10:50</w:t>
            </w:r>
          </w:p>
        </w:tc>
      </w:tr>
      <w:tr>
        <w:tc>
          <w:tcPr>
            <w:tcW w:type="dxa" w:w="2351"/>
          </w:tcPr>
          <w:p>
            <w:r>
              <w:t>12</w:t>
            </w:r>
          </w:p>
        </w:tc>
        <w:tc>
          <w:tcPr>
            <w:tcW w:type="dxa" w:w="2351"/>
          </w:tcPr>
          <w:p>
            <w:r>
              <w:t>Como a categoria pode falhar</w:t>
            </w:r>
          </w:p>
        </w:tc>
        <w:tc>
          <w:tcPr>
            <w:tcW w:type="dxa" w:w="2351"/>
          </w:tcPr>
          <w:p>
            <w:r>
              <w:t>1:15</w:t>
            </w:r>
          </w:p>
        </w:tc>
        <w:tc>
          <w:tcPr>
            <w:tcW w:type="dxa" w:w="2351"/>
          </w:tcPr>
          <w:p>
            <w:r>
              <w:t>12:05</w:t>
            </w:r>
          </w:p>
        </w:tc>
      </w:tr>
      <w:tr>
        <w:tc>
          <w:tcPr>
            <w:tcW w:type="dxa" w:w="2351"/>
          </w:tcPr>
          <w:p>
            <w:r>
              <w:t>13</w:t>
            </w:r>
          </w:p>
        </w:tc>
        <w:tc>
          <w:tcPr>
            <w:tcW w:type="dxa" w:w="2351"/>
          </w:tcPr>
          <w:p>
            <w:r>
              <w:t>Mapa das políticas de educação digital</w:t>
            </w:r>
          </w:p>
        </w:tc>
        <w:tc>
          <w:tcPr>
            <w:tcW w:type="dxa" w:w="2351"/>
          </w:tcPr>
          <w:p>
            <w:r>
              <w:t>1:00</w:t>
            </w:r>
          </w:p>
        </w:tc>
        <w:tc>
          <w:tcPr>
            <w:tcW w:type="dxa" w:w="2351"/>
          </w:tcPr>
          <w:p>
            <w:r>
              <w:t>13:05</w:t>
            </w:r>
          </w:p>
        </w:tc>
      </w:tr>
      <w:tr>
        <w:tc>
          <w:tcPr>
            <w:tcW w:type="dxa" w:w="2351"/>
          </w:tcPr>
          <w:p>
            <w:r>
              <w:t>14</w:t>
            </w:r>
          </w:p>
        </w:tc>
        <w:tc>
          <w:tcPr>
            <w:tcW w:type="dxa" w:w="2351"/>
          </w:tcPr>
          <w:p>
            <w:r>
              <w:t>A promessa e o desenho</w:t>
            </w:r>
          </w:p>
        </w:tc>
        <w:tc>
          <w:tcPr>
            <w:tcW w:type="dxa" w:w="2351"/>
          </w:tcPr>
          <w:p>
            <w:r>
              <w:t>1:15</w:t>
            </w:r>
          </w:p>
        </w:tc>
        <w:tc>
          <w:tcPr>
            <w:tcW w:type="dxa" w:w="2351"/>
          </w:tcPr>
          <w:p>
            <w:r>
              <w:t>14:20</w:t>
            </w:r>
          </w:p>
        </w:tc>
      </w:tr>
      <w:tr>
        <w:tc>
          <w:tcPr>
            <w:tcW w:type="dxa" w:w="2351"/>
          </w:tcPr>
          <w:p>
            <w:r>
              <w:t>15</w:t>
            </w:r>
          </w:p>
        </w:tc>
        <w:tc>
          <w:tcPr>
            <w:tcW w:type="dxa" w:w="2351"/>
          </w:tcPr>
          <w:p>
            <w:r>
              <w:t>A antiga Pipa: trabalho, moradia e mar</w:t>
            </w:r>
          </w:p>
        </w:tc>
        <w:tc>
          <w:tcPr>
            <w:tcW w:type="dxa" w:w="2351"/>
          </w:tcPr>
          <w:p>
            <w:r>
              <w:t>0:50</w:t>
            </w:r>
          </w:p>
        </w:tc>
        <w:tc>
          <w:tcPr>
            <w:tcW w:type="dxa" w:w="2351"/>
          </w:tcPr>
          <w:p>
            <w:r>
              <w:t>15:10</w:t>
            </w:r>
          </w:p>
        </w:tc>
      </w:tr>
      <w:tr>
        <w:tc>
          <w:tcPr>
            <w:tcW w:type="dxa" w:w="2351"/>
          </w:tcPr>
          <w:p>
            <w:r>
              <w:t>16</w:t>
            </w:r>
          </w:p>
        </w:tc>
        <w:tc>
          <w:tcPr>
            <w:tcW w:type="dxa" w:w="2351"/>
          </w:tcPr>
          <w:p>
            <w:r>
              <w:t>O antigo e o atual no mesmo mar</w:t>
            </w:r>
          </w:p>
        </w:tc>
        <w:tc>
          <w:tcPr>
            <w:tcW w:type="dxa" w:w="2351"/>
          </w:tcPr>
          <w:p>
            <w:r>
              <w:t>1:15</w:t>
            </w:r>
          </w:p>
        </w:tc>
        <w:tc>
          <w:tcPr>
            <w:tcW w:type="dxa" w:w="2351"/>
          </w:tcPr>
          <w:p>
            <w:r>
              <w:t>16:25</w:t>
            </w:r>
          </w:p>
        </w:tc>
      </w:tr>
      <w:tr>
        <w:tc>
          <w:tcPr>
            <w:tcW w:type="dxa" w:w="2351"/>
          </w:tcPr>
          <w:p>
            <w:r>
              <w:t>17</w:t>
            </w:r>
          </w:p>
        </w:tc>
        <w:tc>
          <w:tcPr>
            <w:tcW w:type="dxa" w:w="2351"/>
          </w:tcPr>
          <w:p>
            <w:r>
              <w:t>Na escola: o que existe e onde está</w:t>
            </w:r>
          </w:p>
        </w:tc>
        <w:tc>
          <w:tcPr>
            <w:tcW w:type="dxa" w:w="2351"/>
          </w:tcPr>
          <w:p>
            <w:r>
              <w:t>1:00</w:t>
            </w:r>
          </w:p>
        </w:tc>
        <w:tc>
          <w:tcPr>
            <w:tcW w:type="dxa" w:w="2351"/>
          </w:tcPr>
          <w:p>
            <w:r>
              <w:t>17:25</w:t>
            </w:r>
          </w:p>
        </w:tc>
      </w:tr>
      <w:tr>
        <w:tc>
          <w:tcPr>
            <w:tcW w:type="dxa" w:w="2351"/>
          </w:tcPr>
          <w:p>
            <w:r>
              <w:t>18</w:t>
            </w:r>
          </w:p>
        </w:tc>
        <w:tc>
          <w:tcPr>
            <w:tcW w:type="dxa" w:w="2351"/>
          </w:tcPr>
          <w:p>
            <w:r>
              <w:t>Onde estamos e o que falta</w:t>
            </w:r>
          </w:p>
        </w:tc>
        <w:tc>
          <w:tcPr>
            <w:tcW w:type="dxa" w:w="2351"/>
          </w:tcPr>
          <w:p>
            <w:r>
              <w:t>0:50</w:t>
            </w:r>
          </w:p>
        </w:tc>
        <w:tc>
          <w:tcPr>
            <w:tcW w:type="dxa" w:w="2351"/>
          </w:tcPr>
          <w:p>
            <w:r>
              <w:t>18:15</w:t>
            </w:r>
          </w:p>
        </w:tc>
      </w:tr>
      <w:tr>
        <w:tc>
          <w:tcPr>
            <w:tcW w:type="dxa" w:w="2351"/>
          </w:tcPr>
          <w:p>
            <w:r>
              <w:t>19</w:t>
            </w:r>
          </w:p>
        </w:tc>
        <w:tc>
          <w:tcPr>
            <w:tcW w:type="dxa" w:w="2351"/>
          </w:tcPr>
          <w:p>
            <w:r>
              <w:t>O que submeto à banca</w:t>
            </w:r>
          </w:p>
        </w:tc>
        <w:tc>
          <w:tcPr>
            <w:tcW w:type="dxa" w:w="2351"/>
          </w:tcPr>
          <w:p>
            <w:r>
              <w:t>1:00</w:t>
            </w:r>
          </w:p>
        </w:tc>
        <w:tc>
          <w:tcPr>
            <w:tcW w:type="dxa" w:w="2351"/>
          </w:tcPr>
          <w:p>
            <w:r>
              <w:t>19:15</w:t>
            </w:r>
          </w:p>
        </w:tc>
      </w:tr>
      <w:tr>
        <w:tc>
          <w:tcPr>
            <w:tcW w:type="dxa" w:w="2351"/>
          </w:tcPr>
          <w:p>
            <w:r>
              <w:t>20</w:t>
            </w:r>
          </w:p>
        </w:tc>
        <w:tc>
          <w:tcPr>
            <w:tcW w:type="dxa" w:w="2351"/>
          </w:tcPr>
          <w:p>
            <w:r>
              <w:t>A questão aberta / Agradecimento</w:t>
            </w:r>
          </w:p>
        </w:tc>
        <w:tc>
          <w:tcPr>
            <w:tcW w:type="dxa" w:w="2351"/>
          </w:tcPr>
          <w:p>
            <w:r>
              <w:t>0:45</w:t>
            </w:r>
          </w:p>
        </w:tc>
        <w:tc>
          <w:tcPr>
            <w:tcW w:type="dxa" w:w="2351"/>
          </w:tcPr>
          <w:p>
            <w:r>
              <w:t>20:00</w:t>
            </w:r>
          </w:p>
        </w:tc>
      </w:tr>
      <w:tr>
        <w:tc>
          <w:tcPr>
            <w:tcW w:type="dxa" w:w="2351"/>
          </w:tcPr>
          <w:p>
            <w:r>
              <w:t>21</w:t>
            </w:r>
          </w:p>
        </w:tc>
        <w:tc>
          <w:tcPr>
            <w:tcW w:type="dxa" w:w="2351"/>
          </w:tcPr>
          <w:p>
            <w:r>
              <w:t>Referências</w:t>
            </w:r>
          </w:p>
        </w:tc>
        <w:tc>
          <w:tcPr>
            <w:tcW w:type="dxa" w:w="2351"/>
          </w:tcPr>
          <w:p>
            <w:r>
              <w:t>—</w:t>
            </w:r>
          </w:p>
        </w:tc>
        <w:tc>
          <w:tcPr>
            <w:tcW w:type="dxa" w:w="2351"/>
          </w:tcPr>
          <w:p>
            <w:r>
              <w:t>—</w:t>
            </w:r>
          </w:p>
        </w:tc>
      </w:tr>
    </w:tbl>
    <w:p>
      <w:pPr>
        <w:pStyle w:val="Heading2"/>
      </w:pPr>
      <w:r>
        <w:t>Slide 1 – Título  (0:30; acumulado 00:30)</w:t>
      </w:r>
    </w:p>
    <w:p>
      <w:r>
        <w:t>Bom dia a todas e a todos. Agradeço à banca pela leitura cuidadosa e à minha orientadora, professora Maria Cristina Leandro de Paiva. Apresento hoje a qualificação da tese “A política no canteiro da prática”, que investiga como o eixo Educação Digital Escolar da Política Nacional de Educação Digital chega aos anos iniciais de uma escola pública de Pipa, em Tibau do Sul.</w:t>
      </w:r>
    </w:p>
    <w:p>
      <w:pPr>
        <w:pStyle w:val="Heading2"/>
      </w:pPr>
      <w:r>
        <w:t>Slide 2 – Percurso da apresentação  (0:20; acumulado 00:50)</w:t>
      </w:r>
    </w:p>
    <w:p>
      <w:r>
        <w:t>Organizei a fala em seis partes: a proposta da tese, a revisão sistemática, a metodologia, a análise da agenda internacional e da PNED, o território e a escola, e, por fim, o que ainda falta e as questões que trago para a banca.</w:t>
      </w:r>
    </w:p>
    <w:p>
      <w:pPr>
        <w:pStyle w:val="Heading2"/>
      </w:pPr>
      <w:r>
        <w:t>Slide 3 – A tese em uma imagem: o vazio material  (1:15; acumulado 02:05)</w:t>
      </w:r>
    </w:p>
    <w:p>
      <w:r>
        <w:t>Começo pela síntese. O objeto é a implementação do eixo Educação Digital Escolar nas turmas de 1º e 2º anos da Escola Municipal Domitila Castelo. A Lei nº 14.533, de 2023, fez da educação digital um direito, um dever do Estado e, depois da derrubada do veto, um componente curricular. O problema está na distância entre esse direito declarado e os meios garantidos: formação específica, infraestrutura de rede e tempo de planejamento não estão assegurados pela norma e acabam sendo construídos no dia a dia da escola. Daí a questão norteadora, que está no slide: como ocorre a implementação desse eixo, considerando os processos de interpretação, tradução e recontextualização feitos pelos profissionais da educação no contexto da prática. A imagem é ilustrativa e foi gerada por inteligência artificial, como indica a fonte; não é registro de campo.</w:t>
      </w:r>
    </w:p>
    <w:p>
      <w:pPr>
        <w:pStyle w:val="Heading2"/>
      </w:pPr>
      <w:r>
        <w:t>Slide 4 – Trajetória: de onde parto  (1:00; acumulado 03:05)</w:t>
      </w:r>
    </w:p>
    <w:p>
      <w:r>
        <w:t>Preciso dizer de onde falo. Convivo com Pipa há quase duas décadas e trabalhei dezoito anos na rede municipal de Tibau do Sul. No mestrado, fiz uma pesquisa-ação na mesma escola, durante o ensino remoto, e 70% das crianças da turma dividiam o celular com os pais. A tese continua esse percurso, agora diante da PNED. Essa proximidade traz conhecimento do lugar, mas também riscos. Por isso fixei uma regra de método: a memória não é dado. A trajetória orienta o olhar; as evidências virão dos instrumentos, e o diário de campo registra o percurso sem se tornar uma quinta fonte.</w:t>
      </w:r>
    </w:p>
    <w:p>
      <w:pPr>
        <w:pStyle w:val="Heading2"/>
      </w:pPr>
      <w:r>
        <w:t>Slide 5 – O objeto e o recorte  (1:00; acumulado 04:05)</w:t>
      </w:r>
    </w:p>
    <w:p>
      <w:r>
        <w:t>Escolhi o 1º e o 2º anos porque, nessas turmas, a mesma professora acompanha as crianças durante toda a jornada. Se a educação digital acontece ou não, a decisão tem autoria identificável, o que torna a categoria que proponho mais fácil de confirmar ou de recusar. É também a entrada no Ensino Fundamental, quando as crianças trazem experiências digitais muito desiguais e familiaridade com o aparelho ainda não significa compreensão crítica. O território e as condições da escola entram como dimensões do contexto da prática, e as narrativas dos profissionais são o caminho principal. Ficam de fora a avaliação da aprendizagem e a observação de aulas; plataformização e governança de dados entram apenas como contexto.</w:t>
      </w:r>
    </w:p>
    <w:p>
      <w:pPr>
        <w:pStyle w:val="Heading2"/>
      </w:pPr>
      <w:r>
        <w:t>Slide 6 – Do portão para fora, do portão para dentro  (1:00; acumulado 05:05)</w:t>
      </w:r>
    </w:p>
    <w:p>
      <w:r>
        <w:t>Este slide resume a problematização. Do portão para fora, Pipa é um polo turístico conectado: pousadas, restaurantes e passeios são vendidos pela internet. Do portão para dentro, o laboratório da escola aparece com os computadores desligados no momento do registro, e nas salas de 1º e 2º anos não fotografei nenhum dispositivo digital. O mesmo território abriga circuitos econômicos de alta conectividade e uma escola pública que não dispõe desses recursos nas mesmas condições. Os dados nacionais apontam na mesma direção: a conexão chegou à maioria das escolas, mas os computadores para os alunos não cresceram na mesma medida.</w:t>
      </w:r>
    </w:p>
    <w:p>
      <w:pPr>
        <w:pStyle w:val="Heading2"/>
      </w:pPr>
      <w:r>
        <w:t>Slide 7 – Questão norteadora e objetivos  (1:00; acumulado 06:05)</w:t>
      </w:r>
    </w:p>
    <w:p>
      <w:r>
        <w:t>O objetivo geral é analisar a implementação do eixo considerando a norma, as condições institucionais e territoriais e o trabalho de interpretação dos profissionais. Ele se desdobra em três objetivos específicos, que seguem a ordem da análise. O primeiro pergunta o que a política promete e com que meios, e corresponde ao Capítulo 5. O segundo pergunta que condições recebem a política em Pipa, e corresponde ao Capítulo 6. O terceiro pergunta o que os profissionais fazem com a distância entre a norma e as condições, e será respondido no Capítulo 7, depois do campo.</w:t>
      </w:r>
    </w:p>
    <w:p>
      <w:pPr>
        <w:pStyle w:val="Heading2"/>
      </w:pPr>
      <w:r>
        <w:t>Slide 8 – Contribuição inédita: discricionariedade substitutiva  (1:15; acumulado 07:20)</w:t>
      </w:r>
    </w:p>
    <w:p>
      <w:r>
        <w:t>Chego à contribuição que proponho. Lipsky descreve a discricionariedade de quem atende o público diante de recursos escassos: há uma fila, um revezamento, um racionamento, e a decisão é sobre quem recebe. Em Pipa, a situação pode ser outra. Quando a política declara o direito e não faz chegar os meios, a decisão pode recair sobre aquilo que não existe. A profissional supre com aparelho, internet, material, conhecimento ou tempo próprios uma condição que a política anunciou. Mudam o objeto da decisão e quem arca com o custo. Chamo isso de discricionariedade substitutiva. Trata-se, por enquanto, de uma proposição, e não de um achado: ela será examinada nas narrativas, com critérios fixados antes do campo.</w:t>
      </w:r>
    </w:p>
    <w:p>
      <w:pPr>
        <w:pStyle w:val="Heading2"/>
      </w:pPr>
      <w:r>
        <w:t>Slide 9 – O motor teórico: duas engrenagens e o fosso  (1:15; acumulado 08:35)</w:t>
      </w:r>
    </w:p>
    <w:p>
      <w:r>
        <w:t>O quadro teórico tem duas engrenagens. A Abordagem do Ciclo de Políticas, de Bowe, Ball e Gold e de Mainardes, mostra que a política é recriada no contexto da prática. A teoria da burocracia de nível de rua, de Lipsky, mostra que a decisão de quem está na ponta acaba sendo a política praticada. O encaixe entre elas é a recontextualização, categoria integradora da tese. O fosso aparece porque as duas supõem que os meios existem: a ACP pensa a recriação em relação aos meios disponíveis, e Lipsky pensa o racionamento de um serviço que existe. Nenhuma das duas dá nome à decisão sobre o que não existe, e é nesse fosso que situo a contribuição.</w:t>
      </w:r>
    </w:p>
    <w:p>
      <w:pPr>
        <w:pStyle w:val="Heading2"/>
      </w:pPr>
      <w:r>
        <w:t>Slide 10 – A revisão sistemática: questão e resposta  (1:15; acumulado 09:50)</w:t>
      </w:r>
    </w:p>
    <w:p>
      <w:r>
        <w:t>A revisão sistemática seguiu a declaração PRISMA 2020 em sete bases e chegou a nove estudos, entre 176 registros identificados. A resposta é que a atuação dessas políticas nos anos iniciais depende da articulação entre recursos, condições institucionais e trabalho dos profissionais, que interpretam a política no cotidiano. A evidência é convergente sobre as condições e o papel dos profissionais, e frágil sobre cultura digital e cidadania. O mais importante para a tese está no que o corpus não examina: nenhum estudo trata da PNED, apenas um delimita o ciclo de alfabetização, nenhum trata de rede municipal de pequeno porte, e nenhum acompanha o que os profissionais fazem quando a formação não chega.</w:t>
      </w:r>
    </w:p>
    <w:p>
      <w:pPr>
        <w:pStyle w:val="Heading2"/>
      </w:pPr>
      <w:r>
        <w:t>Slide 11 – Desenho: estudo de caso único, qualitativo  (1:00; acumulado 10:50)</w:t>
      </w:r>
    </w:p>
    <w:p>
      <w:r>
        <w:t>O desenho é um estudo de caso único, qualitativo e interpretativo, com Yin e André, analisado pela análise temática reflexiva de Braun e Clarke. São quatro fontes. O registro iconográfico já foi feito: são 38 figuras, contando a fotografia atual do pescador incluída nesta revisão. Os documentos administrativos e de aquisição ainda serão analisados. O questionário de perfil e as entrevistas semiestruturadas, em cinco eixos, serão aplicados depois da aprovação da emenda pelo Comitê de Ética. Os documentos pedagógicos e os registros de formação serão solicitados à escola e à Secretaria.</w:t>
      </w:r>
    </w:p>
    <w:p>
      <w:pPr>
        <w:pStyle w:val="Heading2"/>
      </w:pPr>
      <w:r>
        <w:t>Slide 12 – Como a categoria pode falhar  (1:15; acumulado 12:05)</w:t>
      </w:r>
    </w:p>
    <w:p>
      <w:r>
        <w:t>Como a categoria é nova, ela precisa poder falhar. Registrei os critérios antes da primeira entrevista. Ela se confirma se os três componentes aparecerem juntos, de forma recorrente e sem indução, numa parte expressiva dos doze participantes. Fica delimitada se aparecer apenas na regência. Muda de nome se houver substituição sem alternativa, porque aí se trata de transferência de custo, e não de margem de decisão. E será recusada se as narrativas descreverem fila ou revezamento pelo kit multimídia, se descreverem a lei apenas como ambígua ou se não houver relato recorrente de meios próprios. No Capítulo 7, direi qual dessas situações se verificou. Recusar a categoria também será um resultado.</w:t>
      </w:r>
    </w:p>
    <w:p>
      <w:pPr>
        <w:pStyle w:val="Heading2"/>
      </w:pPr>
      <w:r>
        <w:t>Slide 13 – Mapa das políticas de educação digital  (1:00; acumulado 13:05)</w:t>
      </w:r>
    </w:p>
    <w:p>
      <w:r>
        <w:t>No Capítulo 5, li dezenove experiências na Europa e nas Américas, sem buscar modelos para importar. O objetivo foi construir cinco categorias sensibilizadoras: governança, formação, infraestrutura, continuidade institucional e cultura digital. As lições se repetem. Equalizar equipamentos não equalizou os usos, como na Itália e nos Países Baixos. Distribuir laptops não resolveu a aprendizagem nem a conexão rural, como no Peru e na Colômbia. A continuidade separa trajetórias: o Ceibal atravessou governos, e a Argentina teve três reversões em quinze anos. Essas categorias funcionam como lentes para o campo, e não como padrões.</w:t>
      </w:r>
    </w:p>
    <w:p>
      <w:pPr>
        <w:pStyle w:val="Heading2"/>
      </w:pPr>
      <w:r>
        <w:t>Slide 14 – A promessa e o desenho  (1:15; acumulado 14:20)</w:t>
      </w:r>
    </w:p>
    <w:p>
      <w:r>
        <w:t>Chego ao achado central da análise da lei. A PNED se define como instância de articulação, que não substitui outras políticas. O eixo de inclusão digital, no qual está a conectividade das escolas, deve ser desenvolvido dentro dos limites orçamentários de cada órgão. As fontes de recursos são dotações dos entes, doações, FUST e Funttel, sem fundo próprio nem transferência obrigatória aos municípios. A formação de professores aparece como ação de promoção, sem responsáveis, prazos ou custeio. A esse desenho dou o nome de vazio material: a exigência curricular tem data marcada, 2026, e os meios não têm. Reconheço também os méritos da lei, que deu à educação digital o estatuto de política nacional.</w:t>
      </w:r>
    </w:p>
    <w:p>
      <w:pPr>
        <w:pStyle w:val="Heading2"/>
      </w:pPr>
      <w:r>
        <w:t>Slide 15 – A antiga Pipa: trabalho, moradia e mar  (0:50; acumulado 15:10)</w:t>
      </w:r>
    </w:p>
    <w:p>
      <w:r>
        <w:t>O Capítulo 6 começa pelo território. As imagens do Museu Digital de Pipa mostram uma organização em que trabalho, moradia e mar estavam próximos: o barco construído junto às casas, as embarcações na maré baixa, o mutirão do curral e o cruzeiro na falésia. Com Santos, leio o território usado e as rugosidades, isto é, as formas que permanecem do passado. Com Massey, evito a nostalgia que congelaria a vila de pescadores num passado idealizado.</w:t>
      </w:r>
    </w:p>
    <w:p>
      <w:pPr>
        <w:pStyle w:val="Heading2"/>
      </w:pPr>
      <w:r>
        <w:t>Slide 16 – O antigo e o atual no mesmo mar  (1:15; acumulado 16:25)</w:t>
      </w:r>
    </w:p>
    <w:p>
      <w:r>
        <w:t>Esta é a novidade da revisão. As imagens históricas e os passeios turísticos da baía poderiam sugerir que o turismo ocupou o lugar da pesca. Para verificar isso no presente, incluí um registro atual: um pescador descarregando o pescado na enseada, de costas para a câmera, com lanchas e escunas de passeio ao fundo. A pesca não foi substituída; ela divide o mesmo mar com o turismo. O próprio barco mostra a sobreposição: a embarcação de madeira recebeu um motor de popa. A foto prova presença, e não escala; não diz quantas famílias vivem da pesca. Para a escola, isso significa crianças com relações muito diferentes com o mar, com o trabalho e com as tecnologias, diante de uma política que prevê um único eixo para todas.</w:t>
      </w:r>
    </w:p>
    <w:p>
      <w:pPr>
        <w:pStyle w:val="Heading2"/>
      </w:pPr>
      <w:r>
        <w:t>Slide 17 – Na escola: o que existe e onde está  (1:00; acumulado 17:25)</w:t>
      </w:r>
    </w:p>
    <w:p>
      <w:r>
        <w:t>Dentro da escola, o que existe está distribuído de forma desigual. O laboratório, que segundo informações preliminares foi montado pela Prefeitura em 2022, aparecia com os computadores desligados no registro. Também como informação preliminar, a escola teria duas conexões, uma administrativa e outra educacional, paga com a verba da PIEC, e um único kit multimídia para todas as turmas. Nas salas de 1º e 2º anos não havia nenhum dispositivo digital; predominam recursos impressos e feitos à mão. Chamo isso de rugosidade tecnológica e de habitar digital, e todas essas informações preliminares serão verificadas na análise documental.</w:t>
      </w:r>
    </w:p>
    <w:p>
      <w:pPr>
        <w:pStyle w:val="Heading2"/>
      </w:pPr>
      <w:r>
        <w:t>Slide 18 – Onde estamos e o que falta  (0:50; acumulado 18:15)</w:t>
      </w:r>
    </w:p>
    <w:p>
      <w:r>
        <w:t>Os Capítulos 2, 4 e 5 estão construídos; o 6 está em boa parte escrito; o 3 está em construção. Antes do campo, faltam a aprovação da emenda pelo Comitê de Ética, a assinatura datada dos critérios da categoria e a análise documental: aquisição do laboratório, conectividade, cadernos de uso, prestação de contas da PIEC, Censo Escolar e testes de velocidade nas salas. O campo está planejado para dez semanas, e o Capítulo 7 já está estruturado.</w:t>
      </w:r>
    </w:p>
    <w:p>
      <w:pPr>
        <w:pStyle w:val="Heading2"/>
      </w:pPr>
      <w:r>
        <w:t>Slide 19 – O que submeto à banca  (1:00; acumulado 19:15)</w:t>
      </w:r>
    </w:p>
    <w:p>
      <w:r>
        <w:t>Trago quatro questões para a banca. Primeira: o critério de confirmação fala em uma parte expressiva dos doze participantes; ele precisa de um limiar numérico explícito? Segunda: o custo sob visibilidade direta pode ser sustentado apenas por narrativas, sem observação? Terceira: como direção e Secretaria têm um participante cada, descrever essas posições sem generalizar basta para examinar a delimitação? E quarta: os critérios para tratar a formação como condição ausente estão adequados?</w:t>
      </w:r>
    </w:p>
    <w:p>
      <w:pPr>
        <w:pStyle w:val="Heading2"/>
      </w:pPr>
      <w:r>
        <w:t>Slide 20 – A questão aberta / Agradecimento  (0:45; acumulado 20:00)</w:t>
      </w:r>
    </w:p>
    <w:p>
      <w:r>
        <w:t>Encerro com a pergunta que move a tese. A política fez da educação digital um direito e deixou os meios na dependência de cada ente. Quando o equipamento e a formação não chegam, quem paga, no silêncio do cotidiano escolar, o preço dessa ausência? E o que isso significa para os direitos que a lei prometeu às crianças? Muito obrigada. Fico à disposição para as contribuições da banca.</w:t>
      </w:r>
    </w:p>
    <w:p>
      <w:pPr>
        <w:pStyle w:val="Heading2"/>
      </w:pPr>
      <w:r>
        <w:t>Slide 21 – Referências  (—; acumulado —)</w:t>
      </w:r>
    </w:p>
    <w:p>
      <w:r>
        <w:t>Slide de consulta; não apresentar.</w:t>
      </w:r>
    </w:p>
    <w:p>
      <w:pPr>
        <w:pStyle w:val="Heading2"/>
      </w:pPr>
      <w:r>
        <w:t>Perguntas prováveis da banca (para preparar)</w:t>
      </w:r>
    </w:p>
    <w:p>
      <w:pPr>
        <w:pStyle w:val="ListBullet"/>
      </w:pPr>
      <w:r>
        <w:t>Por que um caso único e não comparar escolas?</w:t>
      </w:r>
    </w:p>
    <w:p>
      <w:pPr>
        <w:pStyle w:val="ListBullet"/>
      </w:pPr>
      <w:r>
        <w:t>Como evitar que a proximidade com a rede influencie as respostas?</w:t>
      </w:r>
    </w:p>
    <w:p>
      <w:pPr>
        <w:pStyle w:val="ListBullet"/>
      </w:pPr>
      <w:r>
        <w:t>A discricionariedade substitutiva não seria apenas a precarização do trabalho docente com outro nome?</w:t>
      </w:r>
    </w:p>
    <w:p>
      <w:pPr>
        <w:pStyle w:val="ListBullet"/>
      </w:pPr>
      <w:r>
        <w:t>Por que incluir uma foto atual do pescador num capítulo sobre a escola?</w:t>
      </w:r>
    </w:p>
    <w:p>
      <w:pPr>
        <w:pStyle w:val="ListBullet"/>
      </w:pPr>
      <w:r>
        <w:t>Como os dados quantitativos citados (TIC Educação, PISA) se relacionam com uma pesquisa qualitativa?</w:t>
      </w:r>
    </w:p>
    <w:p>
      <w:pPr>
        <w:pStyle w:val="ListBullet"/>
      </w:pPr>
      <w:r>
        <w:t>O que muda na tese se o campo recusar a categoria?</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